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ascii="仿宋_GB2312" w:eastAsia="仿宋_GB2312"/>
          <w:b/>
          <w:bCs/>
          <w:sz w:val="32"/>
          <w:szCs w:val="32"/>
        </w:rPr>
      </w:pPr>
      <w:r>
        <w:rPr>
          <w:rFonts w:hint="eastAsia" w:ascii="仿宋_GB2312" w:eastAsia="仿宋_GB2312"/>
          <w:b/>
          <w:bCs/>
          <w:sz w:val="32"/>
          <w:szCs w:val="32"/>
        </w:rPr>
        <w:t>附件2：</w:t>
      </w:r>
    </w:p>
    <w:p>
      <w:pPr>
        <w:pStyle w:val="7"/>
        <w:ind w:firstLine="440"/>
        <w:rPr>
          <w:rFonts w:hint="eastAsia"/>
        </w:rPr>
      </w:pPr>
      <w:r>
        <w:drawing>
          <wp:inline distT="0" distB="0" distL="114300" distR="114300">
            <wp:extent cx="1712595" cy="1687195"/>
            <wp:effectExtent l="0" t="0" r="190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712595" cy="1687195"/>
                    </a:xfrm>
                    <a:prstGeom prst="rect">
                      <a:avLst/>
                    </a:prstGeom>
                    <a:noFill/>
                    <a:ln>
                      <a:noFill/>
                    </a:ln>
                  </pic:spPr>
                </pic:pic>
              </a:graphicData>
            </a:graphic>
          </wp:inline>
        </w:drawing>
      </w:r>
    </w:p>
    <w:p>
      <w:pPr>
        <w:tabs>
          <w:tab w:val="left" w:pos="8085"/>
        </w:tabs>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2023年“海河工匠杯”技能大赛—</w:t>
      </w:r>
    </w:p>
    <w:p>
      <w:pPr>
        <w:tabs>
          <w:tab w:val="left" w:pos="8085"/>
        </w:tabs>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第三届全国汽车流通行业职业技能竞赛天津选拔赛营销师（汽车营销）赛项</w:t>
      </w:r>
    </w:p>
    <w:p>
      <w:pPr>
        <w:widowControl/>
        <w:spacing w:line="600" w:lineRule="exact"/>
        <w:jc w:val="center"/>
        <w:rPr>
          <w:rFonts w:hint="eastAsia" w:ascii="仿宋_GB2312" w:hAnsi="微软雅黑" w:eastAsia="仿宋_GB2312" w:cs="微软雅黑"/>
          <w:color w:val="000000"/>
          <w:sz w:val="32"/>
          <w:szCs w:val="32"/>
          <w:lang w:bidi="ar"/>
        </w:rPr>
      </w:pPr>
    </w:p>
    <w:p>
      <w:pPr>
        <w:widowControl/>
        <w:spacing w:line="600" w:lineRule="exact"/>
        <w:jc w:val="center"/>
        <w:rPr>
          <w:rFonts w:hint="eastAsia" w:ascii="仿宋_GB2312" w:hAnsi="微软雅黑" w:eastAsia="仿宋_GB2312" w:cs="微软雅黑"/>
          <w:b/>
          <w:bCs/>
          <w:color w:val="000000"/>
          <w:sz w:val="48"/>
          <w:szCs w:val="48"/>
          <w:lang w:bidi="ar"/>
        </w:rPr>
      </w:pPr>
      <w:r>
        <w:rPr>
          <w:rFonts w:hint="eastAsia" w:ascii="仿宋_GB2312" w:hAnsi="微软雅黑" w:eastAsia="仿宋_GB2312" w:cs="微软雅黑"/>
          <w:b/>
          <w:bCs/>
          <w:color w:val="000000"/>
          <w:sz w:val="48"/>
          <w:szCs w:val="48"/>
          <w:lang w:bidi="ar"/>
        </w:rPr>
        <w:t>竞赛规程</w:t>
      </w:r>
    </w:p>
    <w:p>
      <w:pPr>
        <w:widowControl/>
        <w:spacing w:line="600" w:lineRule="exact"/>
        <w:ind w:left="683"/>
        <w:jc w:val="center"/>
        <w:rPr>
          <w:rFonts w:hint="eastAsia" w:ascii="仿宋_GB2312" w:eastAsia="仿宋_GB2312"/>
          <w:sz w:val="32"/>
          <w:szCs w:val="32"/>
        </w:rPr>
      </w:pPr>
      <w:r>
        <w:rPr>
          <w:rFonts w:hint="eastAsia" w:ascii="仿宋_GB2312" w:eastAsia="仿宋_GB2312"/>
          <w:color w:val="000000"/>
          <w:sz w:val="32"/>
          <w:szCs w:val="32"/>
          <w:lang w:bidi="ar"/>
        </w:rPr>
        <w:t xml:space="preserve">  </w:t>
      </w:r>
    </w:p>
    <w:p>
      <w:pPr>
        <w:widowControl/>
        <w:spacing w:line="600" w:lineRule="exact"/>
        <w:ind w:left="606"/>
        <w:jc w:val="center"/>
        <w:rPr>
          <w:rFonts w:hint="eastAsia" w:ascii="仿宋_GB2312" w:eastAsia="仿宋_GB2312"/>
          <w:sz w:val="32"/>
          <w:szCs w:val="32"/>
        </w:rPr>
      </w:pPr>
      <w:r>
        <w:rPr>
          <w:rFonts w:hint="eastAsia" w:ascii="仿宋_GB2312" w:eastAsia="仿宋_GB2312"/>
          <w:color w:val="000000"/>
          <w:sz w:val="32"/>
          <w:szCs w:val="32"/>
          <w:lang w:bidi="ar"/>
        </w:rPr>
        <w:t xml:space="preserve">  </w:t>
      </w:r>
    </w:p>
    <w:p>
      <w:pPr>
        <w:widowControl/>
        <w:spacing w:line="600" w:lineRule="exact"/>
        <w:ind w:left="606"/>
        <w:jc w:val="center"/>
        <w:rPr>
          <w:rFonts w:hint="eastAsia" w:ascii="仿宋_GB2312" w:eastAsia="仿宋_GB2312"/>
          <w:sz w:val="32"/>
          <w:szCs w:val="32"/>
        </w:rPr>
      </w:pPr>
      <w:r>
        <w:rPr>
          <w:rFonts w:hint="eastAsia" w:ascii="仿宋_GB2312" w:eastAsia="仿宋_GB2312"/>
          <w:color w:val="000000"/>
          <w:sz w:val="32"/>
          <w:szCs w:val="32"/>
          <w:lang w:bidi="ar"/>
        </w:rPr>
        <w:t xml:space="preserve"> </w:t>
      </w:r>
    </w:p>
    <w:p>
      <w:pPr>
        <w:widowControl/>
        <w:spacing w:line="600" w:lineRule="exact"/>
        <w:ind w:left="606"/>
        <w:jc w:val="center"/>
        <w:rPr>
          <w:rFonts w:hint="eastAsia" w:ascii="仿宋_GB2312" w:eastAsia="仿宋_GB2312"/>
          <w:sz w:val="32"/>
          <w:szCs w:val="32"/>
        </w:rPr>
      </w:pPr>
      <w:r>
        <w:rPr>
          <w:rFonts w:hint="eastAsia" w:ascii="仿宋_GB2312" w:eastAsia="仿宋_GB2312"/>
          <w:color w:val="000000"/>
          <w:sz w:val="32"/>
          <w:szCs w:val="32"/>
          <w:lang w:bidi="ar"/>
        </w:rPr>
        <w:t xml:space="preserve"> </w:t>
      </w:r>
    </w:p>
    <w:p>
      <w:pPr>
        <w:widowControl/>
        <w:spacing w:line="600" w:lineRule="exact"/>
        <w:ind w:left="840" w:right="1447"/>
        <w:rPr>
          <w:rFonts w:hint="eastAsia" w:ascii="仿宋_GB2312" w:eastAsia="仿宋_GB2312"/>
          <w:sz w:val="32"/>
          <w:szCs w:val="32"/>
        </w:rPr>
      </w:pPr>
      <w:r>
        <w:rPr>
          <w:rFonts w:hint="eastAsia" w:ascii="仿宋_GB2312" w:hAnsi="宋体" w:eastAsia="仿宋_GB2312" w:cs="黑体"/>
          <w:color w:val="000000"/>
          <w:sz w:val="32"/>
          <w:szCs w:val="32"/>
          <w:lang w:bidi="ar"/>
        </w:rPr>
        <w:t>赛项名称：</w:t>
      </w:r>
      <w:r>
        <w:rPr>
          <w:rFonts w:hint="eastAsia" w:ascii="仿宋_GB2312" w:eastAsia="仿宋_GB2312"/>
          <w:color w:val="000000"/>
          <w:sz w:val="32"/>
          <w:szCs w:val="32"/>
          <w:u w:val="single" w:color="000000"/>
          <w:lang w:bidi="ar"/>
        </w:rPr>
        <w:t xml:space="preserve">    </w:t>
      </w:r>
      <w:r>
        <w:rPr>
          <w:rFonts w:hint="eastAsia" w:ascii="仿宋_GB2312" w:hAnsi="宋体" w:eastAsia="仿宋_GB2312" w:cs="黑体"/>
          <w:color w:val="000000"/>
          <w:sz w:val="32"/>
          <w:szCs w:val="32"/>
          <w:u w:val="single"/>
          <w:lang w:bidi="ar"/>
        </w:rPr>
        <w:t>营销师（汽车营销）</w:t>
      </w:r>
      <w:r>
        <w:rPr>
          <w:rFonts w:hint="eastAsia" w:ascii="仿宋_GB2312" w:eastAsia="仿宋_GB2312"/>
          <w:color w:val="000000"/>
          <w:sz w:val="32"/>
          <w:szCs w:val="32"/>
          <w:u w:val="single" w:color="000000"/>
          <w:lang w:bidi="ar"/>
        </w:rPr>
        <w:t xml:space="preserve">                </w:t>
      </w:r>
      <w:r>
        <w:rPr>
          <w:rFonts w:hint="eastAsia" w:ascii="仿宋_GB2312" w:eastAsia="仿宋_GB2312"/>
          <w:color w:val="000000"/>
          <w:sz w:val="32"/>
          <w:szCs w:val="32"/>
          <w:lang w:bidi="ar"/>
        </w:rPr>
        <w:t xml:space="preserve"> </w:t>
      </w:r>
      <w:r>
        <w:rPr>
          <w:rFonts w:hint="eastAsia" w:ascii="仿宋_GB2312" w:eastAsia="仿宋_GB2312"/>
          <w:color w:val="000000"/>
          <w:sz w:val="32"/>
          <w:szCs w:val="32"/>
          <w:u w:val="single" w:color="000000"/>
          <w:lang w:bidi="ar"/>
        </w:rPr>
        <w:t xml:space="preserve">    </w:t>
      </w:r>
      <w:r>
        <w:rPr>
          <w:rFonts w:hint="eastAsia" w:ascii="仿宋_GB2312" w:eastAsia="仿宋_GB2312"/>
          <w:color w:val="000000"/>
          <w:sz w:val="32"/>
          <w:szCs w:val="32"/>
          <w:lang w:bidi="ar"/>
        </w:rPr>
        <w:t xml:space="preserve"> </w:t>
      </w:r>
    </w:p>
    <w:p>
      <w:pPr>
        <w:widowControl/>
        <w:spacing w:line="600" w:lineRule="exact"/>
        <w:ind w:left="840" w:right="1447"/>
        <w:rPr>
          <w:rFonts w:hint="eastAsia" w:ascii="仿宋_GB2312" w:eastAsia="仿宋_GB2312"/>
          <w:color w:val="000000"/>
          <w:sz w:val="32"/>
          <w:szCs w:val="32"/>
          <w:lang w:bidi="ar"/>
        </w:rPr>
      </w:pPr>
      <w:r>
        <w:rPr>
          <w:rFonts w:hint="eastAsia" w:ascii="仿宋_GB2312" w:hAnsi="宋体" w:eastAsia="仿宋_GB2312" w:cs="黑体"/>
          <w:color w:val="000000"/>
          <w:sz w:val="32"/>
          <w:szCs w:val="32"/>
          <w:lang w:bidi="ar"/>
        </w:rPr>
        <w:t>赛项编号：</w:t>
      </w:r>
      <w:r>
        <w:rPr>
          <w:rFonts w:hint="eastAsia" w:ascii="仿宋_GB2312" w:eastAsia="仿宋_GB2312"/>
          <w:color w:val="000000"/>
          <w:sz w:val="32"/>
          <w:szCs w:val="32"/>
          <w:u w:val="single" w:color="000000"/>
          <w:lang w:bidi="ar"/>
        </w:rPr>
        <w:t xml:space="preserve">     </w:t>
      </w:r>
      <w:r>
        <w:rPr>
          <w:rFonts w:hint="eastAsia" w:ascii="仿宋_GB2312" w:hAnsi="宋体" w:eastAsia="仿宋_GB2312" w:cs="黑体"/>
          <w:color w:val="000000"/>
          <w:sz w:val="32"/>
          <w:szCs w:val="32"/>
          <w:u w:val="single"/>
          <w:lang w:bidi="ar"/>
        </w:rPr>
        <w:t xml:space="preserve"> 4-01-02-01  </w:t>
      </w:r>
      <w:r>
        <w:rPr>
          <w:rFonts w:hint="eastAsia" w:ascii="仿宋_GB2312" w:eastAsia="仿宋_GB2312"/>
          <w:color w:val="000000"/>
          <w:sz w:val="32"/>
          <w:szCs w:val="32"/>
          <w:u w:val="single" w:color="000000"/>
          <w:lang w:bidi="ar"/>
        </w:rPr>
        <w:t xml:space="preserve">               </w:t>
      </w:r>
      <w:r>
        <w:rPr>
          <w:rFonts w:hint="eastAsia" w:ascii="仿宋_GB2312" w:eastAsia="仿宋_GB2312"/>
          <w:color w:val="000000"/>
          <w:sz w:val="32"/>
          <w:szCs w:val="32"/>
          <w:lang w:bidi="ar"/>
        </w:rPr>
        <w:t xml:space="preserve"> </w:t>
      </w:r>
    </w:p>
    <w:p>
      <w:pPr>
        <w:widowControl/>
        <w:spacing w:line="600" w:lineRule="exact"/>
        <w:ind w:left="840" w:right="1447"/>
        <w:rPr>
          <w:rFonts w:hint="eastAsia" w:ascii="仿宋_GB2312" w:hAnsi="宋体" w:eastAsia="仿宋_GB2312" w:cs="黑体"/>
          <w:color w:val="000000"/>
          <w:sz w:val="32"/>
          <w:szCs w:val="32"/>
          <w:u w:val="single"/>
          <w:lang w:bidi="ar"/>
        </w:rPr>
      </w:pPr>
      <w:r>
        <w:rPr>
          <w:rFonts w:hint="eastAsia" w:ascii="仿宋_GB2312" w:hAnsi="宋体" w:eastAsia="仿宋_GB2312" w:cs="黑体"/>
          <w:color w:val="000000"/>
          <w:sz w:val="32"/>
          <w:szCs w:val="32"/>
          <w:lang w:eastAsia="zh-Hans" w:bidi="ar"/>
        </w:rPr>
        <w:t>职业等级：</w:t>
      </w:r>
      <w:r>
        <w:rPr>
          <w:rFonts w:hint="eastAsia" w:ascii="仿宋_GB2312" w:hAnsi="宋体" w:eastAsia="仿宋_GB2312" w:cs="黑体"/>
          <w:color w:val="000000"/>
          <w:sz w:val="32"/>
          <w:szCs w:val="32"/>
          <w:u w:val="single"/>
          <w:lang w:bidi="ar"/>
        </w:rPr>
        <w:t xml:space="preserve">     三级/高级工</w:t>
      </w:r>
      <w:r>
        <w:rPr>
          <w:rFonts w:hint="eastAsia" w:ascii="仿宋_GB2312" w:hAnsi="宋体" w:eastAsia="仿宋_GB2312" w:cs="黑体"/>
          <w:color w:val="000000"/>
          <w:sz w:val="32"/>
          <w:szCs w:val="32"/>
          <w:u w:val="single"/>
          <w:lang w:eastAsia="zh-Hans" w:bidi="ar"/>
        </w:rPr>
        <w:t>及二级</w:t>
      </w:r>
      <w:r>
        <w:rPr>
          <w:rFonts w:hint="eastAsia" w:ascii="仿宋_GB2312" w:hAnsi="宋体" w:eastAsia="仿宋_GB2312" w:cs="黑体"/>
          <w:color w:val="000000"/>
          <w:sz w:val="32"/>
          <w:szCs w:val="32"/>
          <w:u w:val="single"/>
          <w:lang w:bidi="ar"/>
        </w:rPr>
        <w:t xml:space="preserve">      </w:t>
      </w:r>
    </w:p>
    <w:p>
      <w:pPr>
        <w:widowControl/>
        <w:spacing w:line="600" w:lineRule="exact"/>
        <w:ind w:left="628"/>
        <w:jc w:val="center"/>
        <w:rPr>
          <w:rFonts w:hint="eastAsia" w:ascii="仿宋_GB2312" w:eastAsia="仿宋_GB2312"/>
          <w:color w:val="000000"/>
          <w:sz w:val="32"/>
          <w:szCs w:val="32"/>
          <w:lang w:bidi="ar"/>
        </w:rPr>
      </w:pPr>
      <w:r>
        <w:rPr>
          <w:rFonts w:hint="eastAsia" w:ascii="仿宋_GB2312" w:eastAsia="仿宋_GB2312"/>
          <w:color w:val="000000"/>
          <w:sz w:val="32"/>
          <w:szCs w:val="32"/>
          <w:lang w:bidi="ar"/>
        </w:rPr>
        <w:t xml:space="preserve"> </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一、竞赛目标</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rPr>
        <w:t>为</w:t>
      </w:r>
      <w:r>
        <w:rPr>
          <w:rFonts w:hint="eastAsia" w:hAnsi="仿宋" w:eastAsia="仿宋_GB2312" w:cs="仿宋"/>
          <w:kern w:val="0"/>
          <w:sz w:val="32"/>
          <w:szCs w:val="32"/>
          <w:lang w:val="zh-CN"/>
        </w:rPr>
        <w:t>贯彻《国家职业教育改革实施方案》和《职业教育提质培优行动计划（2020—2023年）》文件精神，引导院校专业的教育教学改革，提高教学质量、创新人才培养模式。</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竞赛的举办以培养适应汽车营销领域的高素质技术技能人才为目标，考核及检验参赛选手在相关领域中的职业素养、基本技能、工作技能、基础知识和应变能力；激发选手重技能、修技能、练技能、比技能的热情以及进一步扎实磨练技能，从而为培养未来就业创业过硬的本领而奠定基础，形成人才培养与市场需求紧密对接的发展格局，为行业提供有力的技能人才支撑。为全面贯彻落实习近平总书记关于技能人才队伍工作重要指示，推动职业技能竞赛广泛开展，选拔和发现优秀技能人才，培养一批办赛技术专家和保障队伍，全面筹备第四届全国技能大赛，打造“海河工匠”品牌，在全社会培育和弘扬精益求精的工匠精神，推动高技能人才队伍建设。</w:t>
      </w:r>
    </w:p>
    <w:p>
      <w:pPr>
        <w:pStyle w:val="7"/>
        <w:spacing w:line="360" w:lineRule="auto"/>
        <w:ind w:firstLine="640" w:firstLineChars="200"/>
        <w:jc w:val="both"/>
        <w:rPr>
          <w:rFonts w:hint="eastAsia" w:hAnsi="仿宋" w:eastAsia="仿宋_GB2312" w:cs="仿宋"/>
          <w:kern w:val="0"/>
          <w:sz w:val="32"/>
          <w:szCs w:val="32"/>
        </w:rPr>
      </w:pPr>
      <w:r>
        <w:rPr>
          <w:rFonts w:hint="eastAsia" w:hAnsi="仿宋" w:eastAsia="仿宋_GB2312" w:cs="仿宋"/>
          <w:kern w:val="0"/>
          <w:sz w:val="32"/>
          <w:szCs w:val="32"/>
          <w:lang w:val="zh-CN"/>
        </w:rPr>
        <w:t>竞赛聚焦汽车流通领域企业中的典型工作岗位——营销师（汽车营销）。结合职业技能要求与特点，以数字化设备、信息化管理、网络化服务展现互联网时代汽车技术服务与营销领域转型升级的成果，旨在促进汽车技术服务领域高素质、复合型技能型人才的技能水平提升，弘扬工匠精神，筑牢基础服务技能，提高汽车流通领域职业技能水平和服务品质，展示汽车行业专业形象和</w:t>
      </w:r>
      <w:r>
        <w:rPr>
          <w:rFonts w:hint="eastAsia" w:hAnsi="仿宋" w:eastAsia="仿宋_GB2312" w:cs="仿宋"/>
          <w:kern w:val="0"/>
          <w:sz w:val="32"/>
          <w:szCs w:val="32"/>
        </w:rPr>
        <w:t>精神面貌。</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二、竞赛内容</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 xml:space="preserve">（一）赛项整体内容介绍 </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竞赛聚焦汽车流通领域企业中的典型工作岗位汽车营销师。结合职业技能要求与特点，以数字化设备、信息化管理、网络化服务展现互联网时代汽车技术服务与营销领域转型升级的成果，旨在促进汽车营销领域高素质、复合型技能型人才的技术提升和培养，弘扬工匠精神，筑牢基础服务技能，提高汽车流通领域职业技能水平和服务品质，展示汽车行业专业形象和精神风貌。</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1．汽车电商运营与管理作业</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此竞赛模块考察选手汽车电商服务平台信息的搜集、整理、发布、维护和运营能力，其具体考核内容包括：汽车电商服务平台业务建设与维护、汽车电商服务平台业务实施与维护、汽车电商服务平台网络自媒体运营等多项实操技能。</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2．汽车营销活动策划及H5宣传制作、直播说车</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该竞赛模块按照真实工作情境进行，针对市场营销专员岗位设计对应的竞赛内容。选手需根据背景信息开展整体营销活动方案的策划，包括：市场分析、目标确定、策略选择、活动安排、场地设计、汇报课件制作等任务。选手根据活动信息内容，完成活动推广H5宣传制作，包括：客户信息分析、H5宣传页面信息规划设计、宣传元素选择、风格与动画设计等。</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在策划方案答辩环节，选手需根据策划的营销活动方案现场汇报任务，时间为10分钟。</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在直播说车环节，选手先在赛场进行直播准备，并根据汽车企业背景、产品资料等内容提炼展车卖点，围绕营销策划方案执行一场完整的在线说车活动，时间为10分钟。</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（二）赛项模块规划</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赛项总成绩＝汽车电商运营与管理作业×40%+汽车营销活动策划及H5宣传制作成绩×60%。</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1．汽车电商运营与管理作业</w:t>
      </w:r>
    </w:p>
    <w:p>
      <w:pPr>
        <w:pStyle w:val="4"/>
        <w:spacing w:before="120" w:after="12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1.1竞赛形式</w:t>
      </w:r>
    </w:p>
    <w:p>
      <w:pPr>
        <w:pStyle w:val="7"/>
        <w:spacing w:line="360" w:lineRule="auto"/>
        <w:ind w:firstLine="640" w:firstLineChars="200"/>
        <w:jc w:val="left"/>
        <w:rPr>
          <w:rFonts w:hint="eastAsia" w:hAnsi="仿宋" w:eastAsia="仿宋_GB2312" w:cs="仿宋"/>
          <w:kern w:val="0"/>
          <w:sz w:val="32"/>
          <w:szCs w:val="32"/>
          <w:lang w:val="zh-CN"/>
        </w:rPr>
      </w:pPr>
      <w:r>
        <w:rPr>
          <w:rFonts w:hint="eastAsia" w:hAnsi="仿宋" w:eastAsia="仿宋_GB2312" w:cs="仿宋"/>
          <w:kern w:val="0"/>
          <w:sz w:val="32"/>
          <w:szCs w:val="32"/>
          <w:lang w:val="zh-CN"/>
        </w:rPr>
        <w:t>此模块竞赛开展汽车电商服务平台系统操作，共计50分钟，由系统评分，满分100分。</w:t>
      </w:r>
    </w:p>
    <w:p>
      <w:pPr>
        <w:pStyle w:val="4"/>
        <w:spacing w:before="120" w:after="12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1.2竞赛要点</w:t>
      </w:r>
    </w:p>
    <w:p>
      <w:pPr>
        <w:spacing w:line="60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此模块的作业及内容贴合现代互联网经济电商业态下汽车业务模块的运维与管理实务，对“汽车电商运营”的岗位核心技能及相关新业态拓展技能进行综合考核与评价，包括汽车业务平台运营、汽车业务新媒体运维与推广、业务数据分析、客户信息运营管理等，综合考察选手的汽车电商平台运维管理操作技能。</w:t>
      </w:r>
    </w:p>
    <w:p>
      <w:pPr>
        <w:pStyle w:val="4"/>
        <w:spacing w:before="120" w:after="12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1.3竞赛样题</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7" w:type="dxa"/>
            <w:noWrap w:val="0"/>
            <w:vAlign w:val="top"/>
          </w:tcPr>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1.竞赛内容</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选手根据任务描述，对汽车电商服务平台进行相应建设与维护操作。</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2.选手任务</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任务一：企业基础信息维护</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任务描述（节选）：某品牌现根据各地业务调整，维护企业网站中经销商分布信息，请你作为运营人员根据公司的以下要求，完成对应服务平台的操作。</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1）某省某市新增某汽车服务有限公司，位于某市某区XXX大桥西头南二环二段639号。该经销商类型为大型豪华车，店内电话022-8997***4。主要业务有服务预约（热线：022-8997***7）、24小时救援（022-8117***6）。此店支持视频看车，特色为5S、旗舰经销商。</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2）某汽车销售服务有限公司由普通经销商现升级为了旗舰经销商。</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任务二：加盟经销商页面建设</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任务描述（部分）：某D品牌汽车从1997年开始，一直致力于打造行业领先的营销网络体系。目前该品牌4S经销网络已达到900余家，分布在全国近300个城市。为了向用户提供更高质量的服务，请你为该品牌某特许经销商于汽车垂直网站建设一个店铺页面，该经销商位于某市某区咸水沽镇津岐公路73号，联系电话为022-2538***8。</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现在请进行如下操作：</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1）请为页面建设选择一张banner图</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2）请为页面建设选择几张代表性的头图</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3）请为活动公告信息进行排版，体现出公告的主次</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4）请根据描述设置商家信息。</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任务三：经销商资讯信息管理</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任务描述（部分）：某D品牌汽车销售公司计划对其官方网站内的相关资讯进行维护更新，请从该公司运营专员工作内容出发，完成如下工作：</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1）对标题为“保养优惠进行时”的文章进行置顶操作</w:t>
            </w:r>
          </w:p>
          <w:p>
            <w:pPr>
              <w:spacing w:line="480" w:lineRule="exact"/>
              <w:ind w:firstLine="686" w:firstLineChars="245"/>
              <w:rPr>
                <w:rFonts w:hint="eastAsia" w:ascii="仿宋_GB2312" w:hAnsi="仿宋" w:eastAsia="仿宋_GB2312" w:cs="仿宋"/>
                <w:sz w:val="28"/>
                <w:szCs w:val="28"/>
              </w:rPr>
            </w:pPr>
            <w:r>
              <w:rPr>
                <w:rFonts w:hint="eastAsia" w:ascii="仿宋_GB2312" w:hAnsi="仿宋" w:eastAsia="仿宋_GB2312" w:cs="仿宋"/>
                <w:sz w:val="28"/>
                <w:szCs w:val="28"/>
              </w:rPr>
              <w:t>2）对标题为“D车型店内促销优惠2万，欢迎试乘试驾”的文章进行置顶操作</w:t>
            </w:r>
          </w:p>
          <w:p>
            <w:pPr>
              <w:spacing w:line="480" w:lineRule="exact"/>
              <w:ind w:firstLine="686" w:firstLineChars="245"/>
              <w:rPr>
                <w:rFonts w:hint="eastAsia" w:ascii="仿宋_GB2312" w:hAnsi="仿宋" w:eastAsia="仿宋_GB2312" w:cs="仿宋"/>
                <w:sz w:val="32"/>
                <w:szCs w:val="32"/>
              </w:rPr>
            </w:pPr>
            <w:r>
              <w:rPr>
                <w:rFonts w:hint="eastAsia" w:ascii="仿宋_GB2312" w:hAnsi="仿宋" w:eastAsia="仿宋_GB2312" w:cs="仿宋"/>
                <w:sz w:val="28"/>
                <w:szCs w:val="28"/>
              </w:rPr>
              <w:t>3）新建一条名为“驾驭智慧，领创未来”的新车资讯，要求以“呈现眼前的，是现在。握在手中的，是未来。”作为引语。以“科技：身怀绝技，方能助力你一臂之力。您只管尽情享受驾驭激情，其他的就交给我们。”描述仪表台。以“车联网-众行家：驾驭智慧，还是您熟悉的车型，只是更智能了一些。”描述车联网系统。设置文章有效期为“7月1日-9月30日”。在文章最后关联D车型，目前该车型正在火热促销中，优惠额度为2万元。</w:t>
            </w:r>
          </w:p>
        </w:tc>
      </w:tr>
    </w:tbl>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2．汽车营销活动策划及H5宣传制作、直播说车</w:t>
      </w:r>
    </w:p>
    <w:p>
      <w:pPr>
        <w:pStyle w:val="4"/>
        <w:spacing w:before="120" w:after="12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2.1竞赛形式</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竞赛成绩由业务系统评分和现场裁判评分合计评定，比赛时长共计185分钟。每支参赛队满分为100分，其中策划方案及H5宣传制作165分钟，由业务平台系统评分，操作成绩占40%，策划方案汇报10分钟，</w:t>
      </w:r>
      <w:r>
        <w:rPr>
          <w:rFonts w:hint="eastAsia" w:ascii="仿宋_GB2312" w:hAnsi="仿宋" w:eastAsia="仿宋_GB2312" w:cs="仿宋"/>
          <w:kern w:val="0"/>
          <w:sz w:val="32"/>
          <w:szCs w:val="32"/>
          <w:lang w:eastAsia="zh-Hans"/>
        </w:rPr>
        <w:t>直播说车</w:t>
      </w:r>
      <w:r>
        <w:rPr>
          <w:rFonts w:hint="eastAsia" w:ascii="仿宋_GB2312" w:hAnsi="仿宋" w:eastAsia="仿宋_GB2312" w:cs="仿宋"/>
          <w:kern w:val="0"/>
          <w:sz w:val="32"/>
          <w:szCs w:val="32"/>
          <w:lang w:val="zh-CN" w:eastAsia="zh-Hans"/>
        </w:rPr>
        <w:t>10</w:t>
      </w:r>
      <w:r>
        <w:rPr>
          <w:rFonts w:hint="eastAsia" w:ascii="仿宋_GB2312" w:hAnsi="仿宋" w:eastAsia="仿宋_GB2312" w:cs="仿宋"/>
          <w:kern w:val="0"/>
          <w:sz w:val="32"/>
          <w:szCs w:val="32"/>
          <w:lang w:eastAsia="zh-Hans"/>
        </w:rPr>
        <w:t>分钟</w:t>
      </w:r>
      <w:r>
        <w:rPr>
          <w:rFonts w:hint="eastAsia" w:ascii="仿宋_GB2312" w:hAnsi="仿宋" w:eastAsia="仿宋_GB2312" w:cs="仿宋"/>
          <w:kern w:val="0"/>
          <w:sz w:val="32"/>
          <w:szCs w:val="32"/>
          <w:lang w:val="zh-CN"/>
        </w:rPr>
        <w:t>由现场裁判评分，评定实操成绩占60%。</w:t>
      </w:r>
    </w:p>
    <w:p>
      <w:pPr>
        <w:pStyle w:val="4"/>
        <w:spacing w:before="120" w:after="12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2.2竞赛要点</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本竞赛模块重点考察参赛选手营销策划方案的营销定位、数据分析能力、目标合理性、计划制定、成本控制、创新思维、广告宣传方案制定、宣传页面设计等专业知识技能及相关综合技能的考评等。裁判根据选手汇报内容、语言表达及应变能力等综合表现进行评价。</w:t>
      </w:r>
    </w:p>
    <w:p>
      <w:pPr>
        <w:pStyle w:val="4"/>
        <w:spacing w:before="120" w:after="12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2.3竞赛样题</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7" w:type="dxa"/>
            <w:noWrap w:val="0"/>
            <w:vAlign w:val="top"/>
          </w:tcPr>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一、竞赛内容</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选手根据赛卷要求完成某汽车销售企业的汽车营销活动策划文案、汇报展示方案、H5宣传页面的制作，完成后开展策划方案汇报</w:t>
            </w:r>
            <w:r>
              <w:rPr>
                <w:rFonts w:hint="eastAsia" w:ascii="仿宋_GB2312" w:hAnsi="仿宋" w:eastAsia="仿宋_GB2312" w:cs="仿宋"/>
                <w:sz w:val="28"/>
                <w:szCs w:val="28"/>
                <w:lang w:eastAsia="zh-Hans"/>
              </w:rPr>
              <w:t>及直播说车</w:t>
            </w:r>
            <w:r>
              <w:rPr>
                <w:rFonts w:hint="eastAsia" w:ascii="仿宋_GB2312" w:hAnsi="仿宋" w:eastAsia="仿宋_GB2312" w:cs="仿宋"/>
                <w:sz w:val="28"/>
                <w:szCs w:val="28"/>
              </w:rPr>
              <w:t>工作。</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二、选手任务</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任务描述：市场营销专员高某（选手）根据任务详情和背景信息，先后完成策划方案设计与方案制作、H5宣传页面制作、策划方案汇报讲解</w:t>
            </w:r>
            <w:r>
              <w:rPr>
                <w:rFonts w:hint="eastAsia" w:ascii="仿宋_GB2312" w:hAnsi="仿宋" w:eastAsia="仿宋_GB2312" w:cs="仿宋"/>
                <w:sz w:val="28"/>
                <w:szCs w:val="28"/>
                <w:lang w:eastAsia="zh-Hans"/>
              </w:rPr>
              <w:t>及直播说车</w:t>
            </w:r>
            <w:r>
              <w:rPr>
                <w:rFonts w:hint="eastAsia" w:ascii="仿宋_GB2312" w:hAnsi="仿宋" w:eastAsia="仿宋_GB2312" w:cs="仿宋"/>
                <w:sz w:val="28"/>
                <w:szCs w:val="28"/>
              </w:rPr>
              <w:t>。</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具体任务如下：</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（1）策划方案制作：策划内容的设计以及演示文案的准备阶段</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选手根据赛卷内容完成汽车营销活动策划文案、汇报课件的制作。</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（2）H5宣传页面制作：H5宣传内容设计</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选手在电脑上根据赛卷内容完成H5宣传页面制作。</w:t>
            </w:r>
          </w:p>
          <w:p>
            <w:pPr>
              <w:spacing w:line="480"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（3）汇报</w:t>
            </w:r>
            <w:r>
              <w:rPr>
                <w:rFonts w:hint="eastAsia" w:ascii="仿宋_GB2312" w:hAnsi="仿宋" w:eastAsia="仿宋_GB2312" w:cs="仿宋"/>
                <w:sz w:val="28"/>
                <w:szCs w:val="28"/>
                <w:lang w:eastAsia="zh-Hans"/>
              </w:rPr>
              <w:t>及说车</w:t>
            </w:r>
            <w:r>
              <w:rPr>
                <w:rFonts w:hint="eastAsia" w:ascii="仿宋_GB2312" w:hAnsi="仿宋" w:eastAsia="仿宋_GB2312" w:cs="仿宋"/>
                <w:sz w:val="28"/>
                <w:szCs w:val="28"/>
              </w:rPr>
              <w:t>阶段</w:t>
            </w:r>
          </w:p>
          <w:p>
            <w:pPr>
              <w:spacing w:line="480" w:lineRule="exact"/>
              <w:ind w:firstLine="560" w:firstLineChars="200"/>
              <w:rPr>
                <w:rFonts w:hint="eastAsia" w:ascii="仿宋" w:hAnsi="仿宋" w:eastAsia="仿宋" w:cs="仿宋"/>
                <w:szCs w:val="21"/>
                <w:lang w:eastAsia="zh-Hans"/>
              </w:rPr>
            </w:pPr>
            <w:r>
              <w:rPr>
                <w:rFonts w:hint="eastAsia" w:ascii="仿宋_GB2312" w:hAnsi="仿宋" w:eastAsia="仿宋_GB2312" w:cs="仿宋"/>
                <w:sz w:val="28"/>
                <w:szCs w:val="28"/>
              </w:rPr>
              <w:t>选手根据营销活动的策划内容，利用PPT进行策划的汇报讲解。</w:t>
            </w:r>
            <w:r>
              <w:rPr>
                <w:rFonts w:hint="eastAsia" w:ascii="仿宋_GB2312" w:hAnsi="仿宋" w:eastAsia="仿宋_GB2312" w:cs="仿宋"/>
                <w:sz w:val="28"/>
                <w:szCs w:val="28"/>
                <w:lang w:val="zh-CN"/>
              </w:rPr>
              <w:t>选手</w:t>
            </w:r>
            <w:r>
              <w:rPr>
                <w:rFonts w:hint="eastAsia" w:ascii="仿宋_GB2312" w:hAnsi="仿宋" w:eastAsia="仿宋_GB2312" w:cs="仿宋"/>
                <w:sz w:val="28"/>
                <w:szCs w:val="28"/>
                <w:lang w:eastAsia="zh-Hans"/>
              </w:rPr>
              <w:t>先</w:t>
            </w:r>
            <w:r>
              <w:rPr>
                <w:rFonts w:hint="eastAsia" w:ascii="仿宋_GB2312" w:hAnsi="仿宋" w:eastAsia="仿宋_GB2312" w:cs="仿宋"/>
                <w:sz w:val="28"/>
                <w:szCs w:val="28"/>
                <w:lang w:val="zh-CN"/>
              </w:rPr>
              <w:t>在赛场进行直播准备，并根据汽车企业背景、产品资料等内容提炼展车卖点，围绕营销策划方案执行一场完整的在线说车活动</w:t>
            </w:r>
            <w:r>
              <w:rPr>
                <w:rFonts w:hint="eastAsia" w:ascii="仿宋_GB2312" w:hAnsi="仿宋" w:eastAsia="仿宋_GB2312" w:cs="仿宋"/>
                <w:sz w:val="28"/>
                <w:szCs w:val="28"/>
              </w:rPr>
              <w:t>。</w:t>
            </w:r>
          </w:p>
        </w:tc>
      </w:tr>
    </w:tbl>
    <w:p>
      <w:pPr>
        <w:pStyle w:val="4"/>
        <w:spacing w:before="120" w:after="12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2.4评分内容</w:t>
      </w:r>
    </w:p>
    <w:tbl>
      <w:tblPr>
        <w:tblStyle w:val="8"/>
        <w:tblW w:w="4998" w:type="pct"/>
        <w:tblInd w:w="0" w:type="dxa"/>
        <w:tblLayout w:type="autofit"/>
        <w:tblCellMar>
          <w:top w:w="0" w:type="dxa"/>
          <w:left w:w="108" w:type="dxa"/>
          <w:bottom w:w="0" w:type="dxa"/>
          <w:right w:w="108" w:type="dxa"/>
        </w:tblCellMar>
      </w:tblPr>
      <w:tblGrid>
        <w:gridCol w:w="356"/>
        <w:gridCol w:w="496"/>
        <w:gridCol w:w="752"/>
        <w:gridCol w:w="6279"/>
        <w:gridCol w:w="636"/>
      </w:tblGrid>
      <w:tr>
        <w:tblPrEx>
          <w:tblCellMar>
            <w:top w:w="0" w:type="dxa"/>
            <w:left w:w="108" w:type="dxa"/>
            <w:bottom w:w="0" w:type="dxa"/>
            <w:right w:w="108" w:type="dxa"/>
          </w:tblCellMar>
        </w:tblPrEx>
        <w:trPr>
          <w:trHeight w:val="550" w:hRule="atLeast"/>
        </w:trPr>
        <w:tc>
          <w:tcPr>
            <w:tcW w:w="972"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b/>
                <w:bCs/>
                <w:color w:val="000000"/>
                <w:sz w:val="28"/>
                <w:szCs w:val="28"/>
              </w:rPr>
            </w:pPr>
            <w:r>
              <w:rPr>
                <w:rFonts w:hint="eastAsia" w:ascii="仿宋_GB2312" w:hAnsi="仿宋" w:eastAsia="仿宋_GB2312" w:cs="仿宋"/>
                <w:b/>
                <w:bCs/>
                <w:color w:val="000000"/>
                <w:kern w:val="0"/>
                <w:sz w:val="28"/>
                <w:szCs w:val="28"/>
                <w:lang w:bidi="ar"/>
              </w:rPr>
              <w:t>评分要点</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b/>
                <w:bCs/>
                <w:color w:val="000000"/>
                <w:sz w:val="28"/>
                <w:szCs w:val="28"/>
              </w:rPr>
            </w:pPr>
            <w:r>
              <w:rPr>
                <w:rFonts w:hint="eastAsia" w:ascii="仿宋_GB2312" w:hAnsi="仿宋" w:eastAsia="仿宋_GB2312" w:cs="仿宋"/>
                <w:b/>
                <w:bCs/>
                <w:color w:val="000000"/>
                <w:kern w:val="0"/>
                <w:sz w:val="28"/>
                <w:szCs w:val="28"/>
                <w:lang w:bidi="ar"/>
              </w:rPr>
              <w:t>评分要求与细则</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b/>
                <w:bCs/>
                <w:color w:val="000000"/>
                <w:sz w:val="28"/>
                <w:szCs w:val="28"/>
              </w:rPr>
            </w:pPr>
            <w:r>
              <w:rPr>
                <w:rFonts w:hint="eastAsia" w:ascii="仿宋_GB2312" w:hAnsi="仿宋" w:eastAsia="仿宋_GB2312" w:cs="仿宋"/>
                <w:b/>
                <w:bCs/>
                <w:color w:val="000000"/>
                <w:kern w:val="0"/>
                <w:sz w:val="28"/>
                <w:szCs w:val="28"/>
                <w:lang w:bidi="ar"/>
              </w:rPr>
              <w:t>满分</w:t>
            </w:r>
          </w:p>
        </w:tc>
      </w:tr>
      <w:tr>
        <w:tblPrEx>
          <w:tblCellMar>
            <w:top w:w="0" w:type="dxa"/>
            <w:left w:w="108" w:type="dxa"/>
            <w:bottom w:w="0" w:type="dxa"/>
            <w:right w:w="108" w:type="dxa"/>
          </w:tblCellMar>
        </w:tblPrEx>
        <w:trPr>
          <w:trHeight w:val="780" w:hRule="atLeast"/>
        </w:trPr>
        <w:tc>
          <w:tcPr>
            <w:tcW w:w="197"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w:t>
            </w:r>
          </w:p>
        </w:tc>
        <w:tc>
          <w:tcPr>
            <w:tcW w:w="311"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方案策划</w:t>
            </w:r>
          </w:p>
        </w:tc>
        <w:tc>
          <w:tcPr>
            <w:tcW w:w="463"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主题与目标确定</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营销活动策划新颖，活动的主题突出、目标明确、营销活动定位准确，策划创意构思新颖、独特</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r>
      <w:tr>
        <w:tblPrEx>
          <w:tblCellMar>
            <w:top w:w="0" w:type="dxa"/>
            <w:left w:w="108" w:type="dxa"/>
            <w:bottom w:w="0" w:type="dxa"/>
            <w:right w:w="108" w:type="dxa"/>
          </w:tblCellMar>
        </w:tblPrEx>
        <w:trPr>
          <w:trHeight w:val="72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营销活动分析准确，能够结合销售情况、库存情况、客户资源、往期活动情况、竞品车型、SWOT分析结果等，为活动目标的制定提供合理依据</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r>
      <w:tr>
        <w:tblPrEx>
          <w:tblCellMar>
            <w:top w:w="0" w:type="dxa"/>
            <w:left w:w="108" w:type="dxa"/>
            <w:bottom w:w="0" w:type="dxa"/>
            <w:right w:w="108" w:type="dxa"/>
          </w:tblCellMar>
        </w:tblPrEx>
        <w:trPr>
          <w:trHeight w:val="66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策略选择</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营销活动策略新颖，能够明确各个策略的特点，综合运用定价策略、销售促进策略、广告策略等进行方案策划</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r>
      <w:tr>
        <w:tblPrEx>
          <w:tblCellMar>
            <w:top w:w="0" w:type="dxa"/>
            <w:left w:w="108" w:type="dxa"/>
            <w:bottom w:w="0" w:type="dxa"/>
            <w:right w:w="108" w:type="dxa"/>
          </w:tblCellMar>
        </w:tblPrEx>
        <w:trPr>
          <w:trHeight w:val="56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计划制定</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营销活动计划缜密，活动安排合理、人员分工明确、场地查勘合理、预算分配合理，特色活动设计有创意并且贴合主题</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r>
      <w:tr>
        <w:tblPrEx>
          <w:tblCellMar>
            <w:top w:w="0" w:type="dxa"/>
            <w:left w:w="108" w:type="dxa"/>
            <w:bottom w:w="0" w:type="dxa"/>
            <w:right w:w="108" w:type="dxa"/>
          </w:tblCellMar>
        </w:tblPrEx>
        <w:trPr>
          <w:trHeight w:val="52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活动实施</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营销活动实施高效、人员配置到位、场地布置美观，物料搭配合理，能够按计划顺利把营销活动付诸实现</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r>
      <w:tr>
        <w:tblPrEx>
          <w:tblCellMar>
            <w:top w:w="0" w:type="dxa"/>
            <w:left w:w="108" w:type="dxa"/>
            <w:bottom w:w="0" w:type="dxa"/>
            <w:right w:w="108" w:type="dxa"/>
          </w:tblCellMar>
        </w:tblPrEx>
        <w:trPr>
          <w:trHeight w:val="52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活动评价</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营销活动效果显著，能够根据往期活动经验准确、合理的分析本次营销活动的效果</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w:t>
            </w:r>
          </w:p>
        </w:tc>
      </w:tr>
      <w:tr>
        <w:tblPrEx>
          <w:tblCellMar>
            <w:top w:w="0" w:type="dxa"/>
            <w:left w:w="108" w:type="dxa"/>
            <w:bottom w:w="0" w:type="dxa"/>
            <w:right w:w="108" w:type="dxa"/>
          </w:tblCellMar>
        </w:tblPrEx>
        <w:trPr>
          <w:trHeight w:val="260" w:hRule="atLeast"/>
        </w:trPr>
        <w:tc>
          <w:tcPr>
            <w:tcW w:w="197"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w:t>
            </w:r>
          </w:p>
        </w:tc>
        <w:tc>
          <w:tcPr>
            <w:tcW w:w="311"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方案陈述</w:t>
            </w:r>
          </w:p>
        </w:tc>
        <w:tc>
          <w:tcPr>
            <w:tcW w:w="463"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方案课件</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方案课件制作内容主题突出、逻辑清晰，能准确表达策划方案核心内容</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w:t>
            </w:r>
          </w:p>
        </w:tc>
      </w:tr>
      <w:tr>
        <w:tblPrEx>
          <w:tblCellMar>
            <w:top w:w="0" w:type="dxa"/>
            <w:left w:w="108" w:type="dxa"/>
            <w:bottom w:w="0" w:type="dxa"/>
            <w:right w:w="108" w:type="dxa"/>
          </w:tblCellMar>
        </w:tblPrEx>
        <w:trPr>
          <w:trHeight w:val="26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方案课件美观大方，图文并茂，内容清晰</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w:t>
            </w:r>
          </w:p>
        </w:tc>
      </w:tr>
      <w:tr>
        <w:tblPrEx>
          <w:tblCellMar>
            <w:top w:w="0" w:type="dxa"/>
            <w:left w:w="108" w:type="dxa"/>
            <w:bottom w:w="0" w:type="dxa"/>
            <w:right w:w="108" w:type="dxa"/>
          </w:tblCellMar>
        </w:tblPrEx>
        <w:trPr>
          <w:trHeight w:val="52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风采展现</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着装整洁，仪表端庄，表情和蔼可亲，自然真诚，姿态自然大方</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w:t>
            </w:r>
          </w:p>
        </w:tc>
      </w:tr>
      <w:tr>
        <w:tblPrEx>
          <w:tblCellMar>
            <w:top w:w="0" w:type="dxa"/>
            <w:left w:w="108" w:type="dxa"/>
            <w:bottom w:w="0" w:type="dxa"/>
            <w:right w:w="108" w:type="dxa"/>
          </w:tblCellMar>
        </w:tblPrEx>
        <w:trPr>
          <w:trHeight w:val="26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语言表达</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对策划方案陈述准确、恰当、条理清晰、逻辑合理</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w:t>
            </w:r>
          </w:p>
        </w:tc>
      </w:tr>
      <w:tr>
        <w:tblPrEx>
          <w:tblCellMar>
            <w:top w:w="0" w:type="dxa"/>
            <w:left w:w="108" w:type="dxa"/>
            <w:bottom w:w="0" w:type="dxa"/>
            <w:right w:w="108" w:type="dxa"/>
          </w:tblCellMar>
        </w:tblPrEx>
        <w:trPr>
          <w:trHeight w:val="26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表达流畅，内容有条理、逻辑性强；用词准确、恰当；语音语调语气得当</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w:t>
            </w:r>
          </w:p>
        </w:tc>
      </w:tr>
      <w:tr>
        <w:tblPrEx>
          <w:tblCellMar>
            <w:top w:w="0" w:type="dxa"/>
            <w:left w:w="108" w:type="dxa"/>
            <w:bottom w:w="0" w:type="dxa"/>
            <w:right w:w="108" w:type="dxa"/>
          </w:tblCellMar>
        </w:tblPrEx>
        <w:trPr>
          <w:trHeight w:val="52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时间管理</w:t>
            </w:r>
          </w:p>
        </w:tc>
        <w:tc>
          <w:tcPr>
            <w:tcW w:w="370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陈述时间分配合理、控制得当</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w:t>
            </w:r>
          </w:p>
        </w:tc>
      </w:tr>
      <w:tr>
        <w:tblPrEx>
          <w:tblCellMar>
            <w:top w:w="0" w:type="dxa"/>
            <w:left w:w="108" w:type="dxa"/>
            <w:bottom w:w="0" w:type="dxa"/>
            <w:right w:w="108" w:type="dxa"/>
          </w:tblCellMar>
        </w:tblPrEx>
        <w:trPr>
          <w:trHeight w:val="460" w:hRule="atLeast"/>
        </w:trPr>
        <w:tc>
          <w:tcPr>
            <w:tcW w:w="19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w:t>
            </w:r>
          </w:p>
        </w:tc>
        <w:tc>
          <w:tcPr>
            <w:tcW w:w="311"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在线说车</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暖场寒暄</w:t>
            </w:r>
          </w:p>
        </w:tc>
        <w:tc>
          <w:tcPr>
            <w:tcW w:w="3706" w:type="pct"/>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能根据说车主题和营销策略，完成开场寒暄、主题介绍以及计划预告环节，口齿清晰，表达流畅，形式新颖，让人印象深刻</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r>
      <w:tr>
        <w:tblPrEx>
          <w:tblCellMar>
            <w:top w:w="0" w:type="dxa"/>
            <w:left w:w="108" w:type="dxa"/>
            <w:bottom w:w="0" w:type="dxa"/>
            <w:right w:w="108" w:type="dxa"/>
          </w:tblCellMar>
        </w:tblPrEx>
        <w:trPr>
          <w:trHeight w:val="24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产品推广</w:t>
            </w:r>
          </w:p>
        </w:tc>
        <w:tc>
          <w:tcPr>
            <w:tcW w:w="3706" w:type="pct"/>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线上完成产品引入、产品展示，引导预约，提升观众兴趣、激发购车欲望</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r>
      <w:tr>
        <w:tblPrEx>
          <w:tblCellMar>
            <w:top w:w="0" w:type="dxa"/>
            <w:left w:w="108" w:type="dxa"/>
            <w:bottom w:w="0" w:type="dxa"/>
            <w:right w:w="108" w:type="dxa"/>
          </w:tblCellMar>
        </w:tblPrEx>
        <w:trPr>
          <w:trHeight w:val="24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现场把控</w:t>
            </w:r>
          </w:p>
        </w:tc>
        <w:tc>
          <w:tcPr>
            <w:tcW w:w="3706" w:type="pct"/>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与观众互动积极，直播间气氛热烈，主播及时回答观众提出的相关问题</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w:t>
            </w:r>
          </w:p>
        </w:tc>
      </w:tr>
      <w:tr>
        <w:tblPrEx>
          <w:tblCellMar>
            <w:top w:w="0" w:type="dxa"/>
            <w:left w:w="108" w:type="dxa"/>
            <w:bottom w:w="0" w:type="dxa"/>
            <w:right w:w="108" w:type="dxa"/>
          </w:tblCellMar>
        </w:tblPrEx>
        <w:trPr>
          <w:trHeight w:val="240" w:hRule="atLeast"/>
        </w:trPr>
        <w:tc>
          <w:tcPr>
            <w:tcW w:w="197"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 w:hAnsi="仿宋" w:eastAsia="仿宋" w:cs="仿宋"/>
                <w:color w:val="000000"/>
                <w:sz w:val="28"/>
                <w:szCs w:val="28"/>
              </w:rPr>
            </w:pPr>
          </w:p>
        </w:tc>
        <w:tc>
          <w:tcPr>
            <w:tcW w:w="463" w:type="pct"/>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收尾引导</w:t>
            </w:r>
          </w:p>
        </w:tc>
        <w:tc>
          <w:tcPr>
            <w:tcW w:w="3706" w:type="pct"/>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通过收尾话术，完成引导关注、总结致谢环节，提高直播间关注度，增强粉丝粘性</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w:t>
            </w:r>
          </w:p>
        </w:tc>
      </w:tr>
      <w:tr>
        <w:tblPrEx>
          <w:tblCellMar>
            <w:top w:w="0" w:type="dxa"/>
            <w:left w:w="108" w:type="dxa"/>
            <w:bottom w:w="0" w:type="dxa"/>
            <w:right w:w="108" w:type="dxa"/>
          </w:tblCellMar>
        </w:tblPrEx>
        <w:trPr>
          <w:trHeight w:val="240" w:hRule="atLeast"/>
        </w:trPr>
        <w:tc>
          <w:tcPr>
            <w:tcW w:w="4678" w:type="pct"/>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总分</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right"/>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100</w:t>
            </w:r>
          </w:p>
        </w:tc>
      </w:tr>
    </w:tbl>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 xml:space="preserve">三、竞赛时间 </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本赛项竞赛赛程1天，其竞赛日程安排详见</w:t>
      </w:r>
      <w:r>
        <w:rPr>
          <w:rFonts w:hint="eastAsia" w:ascii="仿宋_GB2312" w:hAnsi="仿宋" w:eastAsia="仿宋_GB2312" w:cs="仿宋"/>
          <w:kern w:val="0"/>
          <w:sz w:val="32"/>
          <w:szCs w:val="32"/>
          <w:lang w:eastAsia="zh-Hans"/>
        </w:rPr>
        <w:t>下表</w:t>
      </w:r>
      <w:r>
        <w:rPr>
          <w:rFonts w:hint="eastAsia" w:ascii="仿宋_GB2312" w:hAnsi="仿宋" w:eastAsia="仿宋_GB2312" w:cs="仿宋"/>
          <w:kern w:val="0"/>
          <w:sz w:val="32"/>
          <w:szCs w:val="32"/>
          <w:lang w:val="zh-CN"/>
        </w:rPr>
        <w:t>。</w:t>
      </w:r>
      <w:r>
        <w:rPr>
          <w:rFonts w:hint="eastAsia" w:ascii="仿宋_GB2312" w:hAnsi="仿宋" w:eastAsia="仿宋_GB2312" w:cs="仿宋"/>
          <w:kern w:val="0"/>
          <w:sz w:val="32"/>
          <w:szCs w:val="32"/>
        </w:rPr>
        <w:t xml:space="preserve"> </w:t>
      </w:r>
    </w:p>
    <w:tbl>
      <w:tblPr>
        <w:tblStyle w:val="8"/>
        <w:tblW w:w="8765" w:type="dxa"/>
        <w:jc w:val="center"/>
        <w:tblLayout w:type="fixed"/>
        <w:tblCellMar>
          <w:top w:w="0" w:type="dxa"/>
          <w:left w:w="108" w:type="dxa"/>
          <w:bottom w:w="0" w:type="dxa"/>
          <w:right w:w="108" w:type="dxa"/>
        </w:tblCellMar>
      </w:tblPr>
      <w:tblGrid>
        <w:gridCol w:w="1082"/>
        <w:gridCol w:w="1951"/>
        <w:gridCol w:w="4202"/>
        <w:gridCol w:w="1530"/>
      </w:tblGrid>
      <w:tr>
        <w:tblPrEx>
          <w:tblCellMar>
            <w:top w:w="0" w:type="dxa"/>
            <w:left w:w="108" w:type="dxa"/>
            <w:bottom w:w="0" w:type="dxa"/>
            <w:right w:w="108" w:type="dxa"/>
          </w:tblCellMar>
        </w:tblPrEx>
        <w:trPr>
          <w:trHeight w:val="261" w:hRule="atLeast"/>
          <w:jc w:val="center"/>
        </w:trPr>
        <w:tc>
          <w:tcPr>
            <w:tcW w:w="108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日程</w:t>
            </w:r>
          </w:p>
        </w:tc>
        <w:tc>
          <w:tcPr>
            <w:tcW w:w="1951"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时间</w:t>
            </w:r>
          </w:p>
        </w:tc>
        <w:tc>
          <w:tcPr>
            <w:tcW w:w="420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内容</w:t>
            </w:r>
          </w:p>
        </w:tc>
        <w:tc>
          <w:tcPr>
            <w:tcW w:w="1530"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地点</w:t>
            </w:r>
          </w:p>
        </w:tc>
      </w:tr>
      <w:tr>
        <w:tblPrEx>
          <w:tblCellMar>
            <w:top w:w="0" w:type="dxa"/>
            <w:left w:w="108" w:type="dxa"/>
            <w:bottom w:w="0" w:type="dxa"/>
            <w:right w:w="108" w:type="dxa"/>
          </w:tblCellMar>
        </w:tblPrEx>
        <w:trPr>
          <w:trHeight w:val="90" w:hRule="atLeast"/>
          <w:jc w:val="center"/>
        </w:trPr>
        <w:tc>
          <w:tcPr>
            <w:tcW w:w="1082"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10月28日</w:t>
            </w:r>
          </w:p>
        </w:tc>
        <w:tc>
          <w:tcPr>
            <w:tcW w:w="1951"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07:30-08:20</w:t>
            </w:r>
          </w:p>
        </w:tc>
        <w:tc>
          <w:tcPr>
            <w:tcW w:w="420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参赛队报到及抽签</w:t>
            </w:r>
          </w:p>
        </w:tc>
        <w:tc>
          <w:tcPr>
            <w:tcW w:w="1530"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报到现场</w:t>
            </w:r>
          </w:p>
        </w:tc>
      </w:tr>
      <w:tr>
        <w:tblPrEx>
          <w:tblCellMar>
            <w:top w:w="0" w:type="dxa"/>
            <w:left w:w="108" w:type="dxa"/>
            <w:bottom w:w="0" w:type="dxa"/>
            <w:right w:w="108" w:type="dxa"/>
          </w:tblCellMar>
        </w:tblPrEx>
        <w:trPr>
          <w:trHeight w:val="241" w:hRule="atLeast"/>
          <w:jc w:val="center"/>
        </w:trPr>
        <w:tc>
          <w:tcPr>
            <w:tcW w:w="108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1951"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08:30-12:10</w:t>
            </w:r>
          </w:p>
        </w:tc>
        <w:tc>
          <w:tcPr>
            <w:tcW w:w="420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模块一竞赛</w:t>
            </w:r>
          </w:p>
        </w:tc>
        <w:tc>
          <w:tcPr>
            <w:tcW w:w="1530"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机房</w:t>
            </w:r>
          </w:p>
        </w:tc>
      </w:tr>
      <w:tr>
        <w:tblPrEx>
          <w:tblCellMar>
            <w:top w:w="0" w:type="dxa"/>
            <w:left w:w="108" w:type="dxa"/>
            <w:bottom w:w="0" w:type="dxa"/>
            <w:right w:w="108" w:type="dxa"/>
          </w:tblCellMar>
        </w:tblPrEx>
        <w:trPr>
          <w:trHeight w:val="241" w:hRule="atLeast"/>
          <w:jc w:val="center"/>
        </w:trPr>
        <w:tc>
          <w:tcPr>
            <w:tcW w:w="108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1951"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12:10-13:00</w:t>
            </w:r>
          </w:p>
        </w:tc>
        <w:tc>
          <w:tcPr>
            <w:tcW w:w="420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午餐、休息</w:t>
            </w:r>
          </w:p>
        </w:tc>
        <w:tc>
          <w:tcPr>
            <w:tcW w:w="1530"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餐厅</w:t>
            </w:r>
          </w:p>
        </w:tc>
      </w:tr>
      <w:tr>
        <w:tblPrEx>
          <w:tblCellMar>
            <w:top w:w="0" w:type="dxa"/>
            <w:left w:w="108" w:type="dxa"/>
            <w:bottom w:w="0" w:type="dxa"/>
            <w:right w:w="108" w:type="dxa"/>
          </w:tblCellMar>
        </w:tblPrEx>
        <w:trPr>
          <w:trHeight w:val="402" w:hRule="atLeast"/>
          <w:jc w:val="center"/>
        </w:trPr>
        <w:tc>
          <w:tcPr>
            <w:tcW w:w="108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1951"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13:00-13:20</w:t>
            </w:r>
          </w:p>
        </w:tc>
        <w:tc>
          <w:tcPr>
            <w:tcW w:w="420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抽签及二次加密</w:t>
            </w:r>
          </w:p>
        </w:tc>
        <w:tc>
          <w:tcPr>
            <w:tcW w:w="1530"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比赛现场</w:t>
            </w:r>
          </w:p>
        </w:tc>
      </w:tr>
      <w:tr>
        <w:tblPrEx>
          <w:tblCellMar>
            <w:top w:w="0" w:type="dxa"/>
            <w:left w:w="108" w:type="dxa"/>
            <w:bottom w:w="0" w:type="dxa"/>
            <w:right w:w="108" w:type="dxa"/>
          </w:tblCellMar>
        </w:tblPrEx>
        <w:trPr>
          <w:trHeight w:val="309" w:hRule="atLeast"/>
          <w:jc w:val="center"/>
        </w:trPr>
        <w:tc>
          <w:tcPr>
            <w:tcW w:w="108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1951"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13:30-18:30</w:t>
            </w:r>
          </w:p>
        </w:tc>
        <w:tc>
          <w:tcPr>
            <w:tcW w:w="420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策划方案汇报及直播说车轮转</w:t>
            </w:r>
          </w:p>
        </w:tc>
        <w:tc>
          <w:tcPr>
            <w:tcW w:w="1530"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比赛现场</w:t>
            </w:r>
          </w:p>
        </w:tc>
      </w:tr>
      <w:tr>
        <w:tblPrEx>
          <w:tblCellMar>
            <w:top w:w="0" w:type="dxa"/>
            <w:left w:w="108" w:type="dxa"/>
            <w:bottom w:w="0" w:type="dxa"/>
            <w:right w:w="108" w:type="dxa"/>
          </w:tblCellMar>
        </w:tblPrEx>
        <w:trPr>
          <w:trHeight w:val="241" w:hRule="atLeast"/>
          <w:jc w:val="center"/>
        </w:trPr>
        <w:tc>
          <w:tcPr>
            <w:tcW w:w="108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80" w:lineRule="exact"/>
              <w:jc w:val="center"/>
              <w:rPr>
                <w:rFonts w:hint="eastAsia" w:ascii="仿宋" w:hAnsi="仿宋" w:eastAsia="仿宋" w:cs="仿宋"/>
                <w:color w:val="000000"/>
                <w:sz w:val="28"/>
                <w:szCs w:val="28"/>
              </w:rPr>
            </w:pPr>
          </w:p>
        </w:tc>
        <w:tc>
          <w:tcPr>
            <w:tcW w:w="1951"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20:00</w:t>
            </w:r>
          </w:p>
        </w:tc>
        <w:tc>
          <w:tcPr>
            <w:tcW w:w="4202" w:type="dxa"/>
            <w:tcBorders>
              <w:top w:val="single" w:color="000000" w:sz="4" w:space="0"/>
              <w:left w:val="single" w:color="000000" w:sz="4" w:space="0"/>
              <w:bottom w:val="single" w:color="000000" w:sz="4" w:space="0"/>
              <w:right w:val="single" w:color="000000" w:sz="4" w:space="0"/>
            </w:tcBorders>
            <w:noWrap w:val="0"/>
            <w:vAlign w:val="top"/>
          </w:tcPr>
          <w:p>
            <w:pPr>
              <w:widowControl/>
              <w:spacing w:line="480" w:lineRule="exact"/>
              <w:jc w:val="center"/>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公布成绩</w:t>
            </w:r>
          </w:p>
        </w:tc>
        <w:tc>
          <w:tcPr>
            <w:tcW w:w="1530" w:type="dxa"/>
            <w:tcBorders>
              <w:top w:val="single" w:color="000000" w:sz="4" w:space="0"/>
              <w:left w:val="single" w:color="000000" w:sz="4" w:space="0"/>
              <w:bottom w:val="single" w:color="000000" w:sz="4" w:space="0"/>
              <w:right w:val="single" w:color="000000" w:sz="4" w:space="0"/>
            </w:tcBorders>
            <w:noWrap/>
            <w:vAlign w:val="top"/>
          </w:tcPr>
          <w:p>
            <w:pPr>
              <w:widowControl/>
              <w:spacing w:line="480" w:lineRule="exact"/>
              <w:jc w:val="left"/>
              <w:textAlignment w:val="top"/>
              <w:rPr>
                <w:rFonts w:hint="eastAsia"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线上公布</w:t>
            </w:r>
          </w:p>
        </w:tc>
      </w:tr>
    </w:tbl>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四、竞赛规则</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（一）抽签办法</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所有比赛项目在比赛的当天进行</w:t>
      </w:r>
      <w:r>
        <w:rPr>
          <w:rFonts w:hint="eastAsia" w:ascii="仿宋_GB2312" w:hAnsi="仿宋" w:eastAsia="仿宋_GB2312" w:cs="仿宋"/>
          <w:kern w:val="0"/>
          <w:sz w:val="32"/>
          <w:szCs w:val="32"/>
        </w:rPr>
        <w:t>二次加密</w:t>
      </w:r>
      <w:r>
        <w:rPr>
          <w:rFonts w:hint="eastAsia" w:ascii="仿宋_GB2312" w:hAnsi="仿宋" w:eastAsia="仿宋_GB2312" w:cs="仿宋"/>
          <w:kern w:val="0"/>
          <w:sz w:val="32"/>
          <w:szCs w:val="32"/>
          <w:lang w:val="zh-CN"/>
        </w:rPr>
        <w:t>，加密后参赛选手中途不得擅自离开赛场。分别由加密裁判组织实施加密工作，管理加密结果。监督仲裁人员全程监督加密过程。</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（二）比赛须知</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1．参赛队须知</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（1）做好本队参赛选手的组织工作，按赛项执委会要求时间和地点报到；做好选手的后勤和安全保障工作。</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（2）严格遵守赛场纪律，听从赛项执委会统一指挥，服从裁判。</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（3）观摩竞赛时不得以任何形式对选手进行提示，不得以任何方式干扰竞赛正常进行，否则按作弊处理。</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（4）参赛队认为在竞赛过程中出现了有失公正或有关人员违规等现象时，必须由各参赛队领队在该赛项结束后1小时内，向赛项监督仲裁组提交书面申诉材料。</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（5）各参赛队领队应带头服从和执行申诉的仲裁结果，并说服选手服从和执行，如参赛选手因申诉或对仲裁结果不服而停止竞赛， 则按弃权处理。</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（6）竞赛期间由领队负责其参赛队与赛项执委会的协调联络， 领队要保持通信畅通。</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（7）参赛队成员必须着装整齐。</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（8）各参赛队领队、指导教师、参赛选手等应遵循保密原则。竞赛期间，除配合赛项执委会工作需要外，不得以任何方式向任何人透露参赛选手姓名、单位、加密号等信息。</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2.</w:t>
      </w:r>
      <w:r>
        <w:rPr>
          <w:rFonts w:ascii="仿宋_GB2312" w:hAnsi="仿宋" w:eastAsia="仿宋_GB2312" w:cs="仿宋"/>
        </w:rPr>
        <w:t xml:space="preserve"> </w:t>
      </w:r>
      <w:r>
        <w:rPr>
          <w:rFonts w:hint="eastAsia" w:ascii="仿宋_GB2312" w:hAnsi="仿宋" w:eastAsia="仿宋_GB2312" w:cs="仿宋"/>
        </w:rPr>
        <w:t xml:space="preserve">指导教师须知 </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（1）指导教师经报名、审核确定后不得随意更换。允许指导教师缺席竞赛。</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（2）参赛选手一进入检录区，指导教师就不得以任何方式与参赛选手联系；不得以任何形式对选手进行提示，否则按作弊处理。</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（3）指导教师应协助赛项执委会处理好各种突发事件，确保竞赛顺利进行。</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（4）指导教师要做好所带参赛选手的安全教育工作，确保参赛选手在竞赛期间的人身安全，防止意外事故的发生。</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（5）对竞赛结果产生异议时，须通过正常程序提请申诉和仲裁，不得干扰和影响竞赛的正常进行。 </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 xml:space="preserve">3．参赛选手须知 </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（1）按赛项执委会要求时间和地点报到，竞赛过程中不准擅自离开赛场，否则以自动弃权处理；按照工作人员要求进行检录与抽签， 进行二次加密。</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（2）严格遵守竞赛规则和操作规程，尊重裁判和赛场工作人员，自觉维护赛场秩序。</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（3）爱护竞赛设备设施，不得人为损坏。</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（4）按统一安排提前熟悉竞赛场地，其他非参赛时间不得进入竞赛场地。</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（5）进入竞赛场地时需按要求着装，不允许携带通讯工具及一切非竞赛用具进入赛场。</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（6）竞赛过程中，选手休息、饮水或去洗手间等所用时间，一律计算在竞赛时间内，饮用水由赛场统一准备；裁判宣布竞赛时间到，应立即停止答题和演练，不得拖延竞赛时间。</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（7）如果选手提前结束竞赛，应向裁判员示意，竞赛终止时间由裁判员记录在案；竞赛完成后必须按裁判要求迅速离开赛场，不得在赛场内滞留。</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（8）在比赛过程中使用计算机操作或填写信息时，应严格遵守操作规程。电脑出现故障时，选手应举手示意，由裁判视具体情况做出裁决。 </w:t>
      </w:r>
    </w:p>
    <w:p>
      <w:pPr>
        <w:pStyle w:val="4"/>
        <w:spacing w:before="120" w:after="120" w:line="360" w:lineRule="auto"/>
        <w:ind w:firstLine="643" w:firstLineChars="200"/>
        <w:rPr>
          <w:rFonts w:hint="eastAsia" w:ascii="仿宋_GB2312" w:hAnsi="仿宋" w:eastAsia="仿宋_GB2312" w:cs="仿宋"/>
        </w:rPr>
      </w:pPr>
      <w:r>
        <w:rPr>
          <w:rFonts w:hint="eastAsia"/>
        </w:rPr>
        <w:t>4．工作人员须知</w:t>
      </w:r>
      <w:r>
        <w:rPr>
          <w:rFonts w:hint="eastAsia" w:ascii="仿宋_GB2312" w:hAnsi="仿宋" w:eastAsia="仿宋_GB2312" w:cs="仿宋"/>
        </w:rPr>
        <w:t xml:space="preserve"> </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（1）树立服务观念，积极完成本职任务。</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（2）竞赛期间按赛项执委会要求着装，保持良好形象。</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（3）按赛项执委会要求准时到达赛场，严守工作岗位，特殊情况需请假。</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（4）熟悉竞赛规程，严格按照工作程序和有关规定办事，遇突发事件，按照安全工作预案，组织指挥人员疏散，确保人员安全。</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（5）保持通信畅通，服从统一领导，严格遵守竞赛纪律，加强协作配合，提高工作效率。</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（三）成绩评定方法</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本竞赛采用任务制，所有参赛选手需完成自行申报的竞赛项目中指定的工作任务（模块）。</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赛项总成绩＝汽车电商运营与管理作业×40%+汽车营销活动策划及H5宣传制作、</w:t>
      </w:r>
      <w:r>
        <w:rPr>
          <w:rFonts w:hint="eastAsia" w:ascii="仿宋_GB2312" w:hAnsi="仿宋" w:eastAsia="仿宋_GB2312" w:cs="仿宋"/>
          <w:kern w:val="0"/>
          <w:sz w:val="32"/>
          <w:szCs w:val="32"/>
          <w:lang w:eastAsia="zh-Hans"/>
        </w:rPr>
        <w:t>直播说车</w:t>
      </w:r>
      <w:r>
        <w:rPr>
          <w:rFonts w:hint="eastAsia" w:ascii="仿宋_GB2312" w:hAnsi="仿宋" w:eastAsia="仿宋_GB2312" w:cs="仿宋"/>
          <w:kern w:val="0"/>
          <w:sz w:val="32"/>
          <w:szCs w:val="32"/>
          <w:lang w:val="zh-CN"/>
        </w:rPr>
        <w:t>成绩×60%。</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其中：汽车电商运营与管理作业成绩=竞赛系统成绩×100%；汽车营销活动策划及H5宣传制作、</w:t>
      </w:r>
      <w:r>
        <w:rPr>
          <w:rFonts w:hint="eastAsia" w:ascii="仿宋_GB2312" w:hAnsi="仿宋" w:eastAsia="仿宋_GB2312" w:cs="仿宋"/>
          <w:kern w:val="0"/>
          <w:sz w:val="32"/>
          <w:szCs w:val="32"/>
          <w:lang w:eastAsia="zh-Hans"/>
        </w:rPr>
        <w:t>直播说车</w:t>
      </w:r>
      <w:r>
        <w:rPr>
          <w:rFonts w:hint="eastAsia" w:ascii="仿宋_GB2312" w:hAnsi="仿宋" w:eastAsia="仿宋_GB2312" w:cs="仿宋"/>
          <w:kern w:val="0"/>
          <w:sz w:val="32"/>
          <w:szCs w:val="32"/>
          <w:lang w:val="zh-CN"/>
        </w:rPr>
        <w:t>成绩=竞赛系统成绩×40%+裁判评定成绩×60%。</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（四）安全操作规程</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根据有关要求，采取切实有效的措施保证大赛期间参赛选手、指导教师、工作人员及观众的人身安全，根据本规定提出的安全要点， 制定相应的制度和文件，落实相关责任。具体措施包括： </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1．赛项</w:t>
      </w:r>
      <w:r>
        <w:rPr>
          <w:rFonts w:hint="eastAsia"/>
        </w:rPr>
        <w:t>安全管理</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竞赛所涉器材、设备均符合国家有关安全规定。赛项执委会将在赛前对本赛项全体裁判员、工作人员进行安全培训，并制定专门方案保证比赛命题、赛题保管、发放、回收和评判过程的安全。 </w:t>
      </w:r>
    </w:p>
    <w:p>
      <w:pPr>
        <w:pStyle w:val="4"/>
        <w:spacing w:before="120" w:after="120" w:line="360" w:lineRule="auto"/>
        <w:ind w:firstLine="643" w:firstLineChars="200"/>
        <w:rPr>
          <w:rFonts w:hint="eastAsia" w:ascii="仿宋_GB2312" w:hAnsi="仿宋" w:eastAsia="仿宋_GB2312" w:cs="仿宋"/>
        </w:rPr>
      </w:pPr>
      <w:r>
        <w:rPr>
          <w:rFonts w:ascii="仿宋_GB2312" w:hAnsi="仿宋" w:eastAsia="仿宋_GB2312" w:cs="仿宋"/>
        </w:rPr>
        <w:t>2</w:t>
      </w:r>
      <w:r>
        <w:rPr>
          <w:rFonts w:hint="eastAsia" w:ascii="仿宋_GB2312" w:hAnsi="仿宋" w:eastAsia="仿宋_GB2312" w:cs="仿宋"/>
        </w:rPr>
        <w:t>.</w:t>
      </w:r>
      <w:r>
        <w:rPr>
          <w:rFonts w:ascii="仿宋_GB2312" w:hAnsi="仿宋" w:eastAsia="仿宋_GB2312" w:cs="仿宋"/>
        </w:rPr>
        <w:t xml:space="preserve"> </w:t>
      </w:r>
      <w:r>
        <w:rPr>
          <w:rFonts w:hint="eastAsia" w:ascii="仿宋_GB2312" w:hAnsi="仿宋" w:eastAsia="仿宋_GB2312" w:cs="仿宋"/>
        </w:rPr>
        <w:t>比赛环境安全管理</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赛项执委会须在赛前组织专人对比赛现场、住宿场所和交通保障 进行考察，并对安全工作提出明确要求。赛场周围设立警戒线，防止无关人员进入，发生意外事件。承办院校提供保障应急预案实施的条件，校须在赛场设置医疗医护工作站。赛项执委会会同承办院校制定开放赛场和体验区的人员疏导方案。大赛期间，赛项承办院校在赛场管理的关键岗位，增加力量，建立安全管理日志。在参赛选手进入赛位，赛项裁判工作人员进入工作场所时，赛项承办院校负责提醒、督促参赛选手、赛项裁判工作人员严禁携带通讯、照相摄录设备，禁止携带未经许可的记录用具。赛项可根据需要配置安检设备，对进入赛场重要区域的人员进行安检，可在赛场相关区域安放无线屏蔽设备。 </w:t>
      </w:r>
    </w:p>
    <w:p>
      <w:pPr>
        <w:pStyle w:val="4"/>
        <w:spacing w:before="120" w:after="120" w:line="360" w:lineRule="auto"/>
        <w:ind w:firstLine="643" w:firstLineChars="200"/>
        <w:rPr>
          <w:rFonts w:hint="eastAsia" w:ascii="仿宋_GB2312" w:hAnsi="仿宋" w:eastAsia="仿宋_GB2312" w:cs="仿宋"/>
        </w:rPr>
      </w:pPr>
      <w:r>
        <w:rPr>
          <w:rFonts w:hint="eastAsia" w:ascii="仿宋_GB2312" w:hAnsi="仿宋" w:eastAsia="仿宋_GB2312" w:cs="仿宋"/>
        </w:rPr>
        <w:t xml:space="preserve">3．生活条件保障 </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比赛期间，由赛事承办院校统一安排参赛选手和指导教师餐饮。承办院校尊重少数民族参赛人员的宗教信仰及文化习俗，根据国家相关的民族、宗教政策，安排好少数民族参赛选手和教师的饮食起居。</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五、技术规范</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 营销师（汽车营销）的命题标准，依据人力资源社会保障部颁布的《营销师国家职业技能标准》。</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所有竞赛项目命题标准，为适应当下职业岗位特点和新技术、新业态、新服务，适当增加新知识、新技能等内容。</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六、技术环境</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（一）汽车电商运营与管理作业</w:t>
      </w:r>
    </w:p>
    <w:p>
      <w:pPr>
        <w:spacing w:line="60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该竞赛模块中环节 1 设在标准机房内，竞赛场地要求配备服务器 1 台，备用服务器 1 台，工作站不少于 70 台。机房符合安全、防火等建筑要求并配有供电应急设备等。</w:t>
      </w:r>
    </w:p>
    <w:p>
      <w:pPr>
        <w:spacing w:line="60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机房场地配置要求如下：</w:t>
      </w:r>
    </w:p>
    <w:tbl>
      <w:tblPr>
        <w:tblStyle w:val="8"/>
        <w:tblW w:w="8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102"/>
        <w:gridCol w:w="5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服务器</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硬件配置</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*CPU 酷睿I5 3.4GHz以上/E3 1220 3.10GHz及以上  *内存:16GB以上  *硬盘: 512G及以上  *其他: USB接口、3.5MM音频接口、3.5MM耳机一副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操作系统</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Windows 2008 server(x64)或 Windows 2003 server(x64)或windows 7(x64)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数据库平台</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MySql5.1绿色版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浏览器</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Google Chrome、FireFox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网卡</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tabs>
                <w:tab w:val="left" w:pos="1576"/>
              </w:tabs>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千兆网卡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交换机</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千兆交换机，交换机端口支持1000M传输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工作站</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硬件配置</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*CPU 酷睿I3 2.8GHz以上  *内存:4GB及以上（最低配置2GB）  *硬盘: 256GB以上，其他: USB接口、3.5MM音频接口、3.5MM耳机一副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操作系统</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Windows 7(x64)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浏览器</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Chrome 69.0.3497.81（正式版本） （32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其他插件</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Flash player PPAPI 31.0.0.108版本插件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网络要求</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与服务器处于同一局域网、同一网段</w:t>
            </w:r>
          </w:p>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2、使用网线连接到局域网内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01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备注</w:t>
            </w:r>
          </w:p>
        </w:tc>
        <w:tc>
          <w:tcPr>
            <w:tcW w:w="542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竞赛、考试用机房，应该采用标准配置</w:t>
            </w:r>
          </w:p>
        </w:tc>
      </w:tr>
    </w:tbl>
    <w:p>
      <w:pPr>
        <w:spacing w:line="600" w:lineRule="exact"/>
        <w:rPr>
          <w:rFonts w:hint="eastAsia" w:ascii="仿宋_GB2312" w:hAnsi="仿宋" w:eastAsia="仿宋_GB2312" w:cs="仿宋"/>
          <w:kern w:val="0"/>
          <w:sz w:val="32"/>
          <w:szCs w:val="32"/>
        </w:rPr>
      </w:pPr>
      <w:r>
        <w:rPr>
          <w:rFonts w:hint="eastAsia" w:ascii="仿宋_GB2312" w:hAnsi="仿宋" w:eastAsia="仿宋_GB2312" w:cs="仿宋"/>
          <w:kern w:val="0"/>
          <w:sz w:val="32"/>
          <w:szCs w:val="32"/>
        </w:rPr>
        <w:t>汽车电商运营与管理作业物料清单如下：</w:t>
      </w:r>
    </w:p>
    <w:tbl>
      <w:tblPr>
        <w:tblStyle w:val="8"/>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4444"/>
        <w:gridCol w:w="1423"/>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
                <w:kern w:val="0"/>
                <w:sz w:val="28"/>
                <w:szCs w:val="28"/>
              </w:rPr>
            </w:pPr>
            <w:r>
              <w:rPr>
                <w:rFonts w:hint="eastAsia" w:ascii="仿宋_GB2312" w:hAnsi="仿宋" w:eastAsia="仿宋_GB2312" w:cs="仿宋"/>
                <w:b/>
                <w:kern w:val="0"/>
                <w:sz w:val="28"/>
                <w:szCs w:val="28"/>
              </w:rPr>
              <w:t>序号</w:t>
            </w:r>
          </w:p>
        </w:tc>
        <w:tc>
          <w:tcPr>
            <w:tcW w:w="2592" w:type="pct"/>
            <w:noWrap w:val="0"/>
            <w:vAlign w:val="center"/>
          </w:tcPr>
          <w:p>
            <w:pPr>
              <w:autoSpaceDE w:val="0"/>
              <w:autoSpaceDN w:val="0"/>
              <w:spacing w:line="480" w:lineRule="exact"/>
              <w:ind w:firstLine="480"/>
              <w:jc w:val="center"/>
              <w:rPr>
                <w:rFonts w:hint="eastAsia" w:ascii="仿宋_GB2312" w:hAnsi="仿宋" w:eastAsia="仿宋_GB2312" w:cs="仿宋"/>
                <w:b/>
                <w:kern w:val="0"/>
                <w:sz w:val="28"/>
                <w:szCs w:val="28"/>
              </w:rPr>
            </w:pPr>
            <w:r>
              <w:rPr>
                <w:rFonts w:hint="eastAsia" w:ascii="仿宋_GB2312" w:hAnsi="仿宋" w:eastAsia="仿宋_GB2312" w:cs="仿宋"/>
                <w:b/>
                <w:kern w:val="0"/>
                <w:sz w:val="28"/>
                <w:szCs w:val="28"/>
              </w:rPr>
              <w:t>设施设备名称</w:t>
            </w:r>
          </w:p>
        </w:tc>
        <w:tc>
          <w:tcPr>
            <w:tcW w:w="830" w:type="pct"/>
            <w:noWrap w:val="0"/>
            <w:vAlign w:val="center"/>
          </w:tcPr>
          <w:p>
            <w:pPr>
              <w:autoSpaceDE w:val="0"/>
              <w:autoSpaceDN w:val="0"/>
              <w:spacing w:line="480" w:lineRule="exact"/>
              <w:jc w:val="center"/>
              <w:rPr>
                <w:rFonts w:hint="eastAsia" w:ascii="仿宋_GB2312" w:hAnsi="仿宋" w:eastAsia="仿宋_GB2312" w:cs="仿宋"/>
                <w:b/>
                <w:kern w:val="0"/>
                <w:sz w:val="28"/>
                <w:szCs w:val="28"/>
              </w:rPr>
            </w:pPr>
            <w:r>
              <w:rPr>
                <w:rFonts w:hint="eastAsia" w:ascii="仿宋_GB2312" w:hAnsi="仿宋" w:eastAsia="仿宋_GB2312" w:cs="仿宋"/>
                <w:b/>
                <w:kern w:val="0"/>
                <w:sz w:val="28"/>
                <w:szCs w:val="28"/>
              </w:rPr>
              <w:t>要求数量</w:t>
            </w:r>
          </w:p>
        </w:tc>
        <w:tc>
          <w:tcPr>
            <w:tcW w:w="1009" w:type="pct"/>
            <w:noWrap w:val="0"/>
            <w:vAlign w:val="center"/>
          </w:tcPr>
          <w:p>
            <w:pPr>
              <w:autoSpaceDE w:val="0"/>
              <w:autoSpaceDN w:val="0"/>
              <w:spacing w:line="480" w:lineRule="exact"/>
              <w:jc w:val="center"/>
              <w:rPr>
                <w:rFonts w:hint="eastAsia" w:ascii="仿宋_GB2312" w:hAnsi="仿宋" w:eastAsia="仿宋_GB2312" w:cs="仿宋"/>
                <w:b/>
                <w:kern w:val="0"/>
                <w:sz w:val="28"/>
                <w:szCs w:val="28"/>
              </w:rPr>
            </w:pPr>
            <w:r>
              <w:rPr>
                <w:rFonts w:hint="eastAsia" w:ascii="仿宋_GB2312" w:hAnsi="仿宋" w:eastAsia="仿宋_GB2312" w:cs="仿宋"/>
                <w:b/>
                <w:kern w:val="0"/>
                <w:sz w:val="28"/>
                <w:szCs w:val="28"/>
              </w:rPr>
              <w:t>使用项目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1</w:t>
            </w:r>
          </w:p>
        </w:tc>
        <w:tc>
          <w:tcPr>
            <w:tcW w:w="2592"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sz w:val="28"/>
                <w:szCs w:val="28"/>
              </w:rPr>
              <w:t>汽车电商服务平台运营与管理教学培训系统</w:t>
            </w:r>
          </w:p>
        </w:tc>
        <w:tc>
          <w:tcPr>
            <w:tcW w:w="830"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1套</w:t>
            </w:r>
          </w:p>
        </w:tc>
        <w:tc>
          <w:tcPr>
            <w:tcW w:w="1009"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竞赛系统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2</w:t>
            </w:r>
          </w:p>
        </w:tc>
        <w:tc>
          <w:tcPr>
            <w:tcW w:w="2592"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竞赛纪律</w:t>
            </w:r>
          </w:p>
        </w:tc>
        <w:tc>
          <w:tcPr>
            <w:tcW w:w="830"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1份</w:t>
            </w:r>
          </w:p>
        </w:tc>
        <w:tc>
          <w:tcPr>
            <w:tcW w:w="1009"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竞赛前张贴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3</w:t>
            </w:r>
          </w:p>
        </w:tc>
        <w:tc>
          <w:tcPr>
            <w:tcW w:w="2592"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竞赛声明</w:t>
            </w:r>
          </w:p>
        </w:tc>
        <w:tc>
          <w:tcPr>
            <w:tcW w:w="830"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1份</w:t>
            </w:r>
          </w:p>
        </w:tc>
        <w:tc>
          <w:tcPr>
            <w:tcW w:w="1009"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竞赛前宣读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4</w:t>
            </w:r>
          </w:p>
        </w:tc>
        <w:tc>
          <w:tcPr>
            <w:tcW w:w="2592"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A4纸</w:t>
            </w:r>
          </w:p>
        </w:tc>
        <w:tc>
          <w:tcPr>
            <w:tcW w:w="830"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1包</w:t>
            </w:r>
          </w:p>
        </w:tc>
        <w:tc>
          <w:tcPr>
            <w:tcW w:w="1009"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草稿纸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5</w:t>
            </w:r>
          </w:p>
        </w:tc>
        <w:tc>
          <w:tcPr>
            <w:tcW w:w="2592"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签字笔</w:t>
            </w:r>
          </w:p>
        </w:tc>
        <w:tc>
          <w:tcPr>
            <w:tcW w:w="830"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60支</w:t>
            </w:r>
          </w:p>
        </w:tc>
        <w:tc>
          <w:tcPr>
            <w:tcW w:w="1009"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记录信息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6</w:t>
            </w:r>
          </w:p>
        </w:tc>
        <w:tc>
          <w:tcPr>
            <w:tcW w:w="2592"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工位电脑</w:t>
            </w:r>
          </w:p>
        </w:tc>
        <w:tc>
          <w:tcPr>
            <w:tcW w:w="830"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70台</w:t>
            </w:r>
          </w:p>
        </w:tc>
        <w:tc>
          <w:tcPr>
            <w:tcW w:w="1009"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竞赛用电脑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7"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7</w:t>
            </w:r>
          </w:p>
        </w:tc>
        <w:tc>
          <w:tcPr>
            <w:tcW w:w="2592"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服务器</w:t>
            </w:r>
          </w:p>
        </w:tc>
        <w:tc>
          <w:tcPr>
            <w:tcW w:w="830"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1台</w:t>
            </w:r>
          </w:p>
        </w:tc>
        <w:tc>
          <w:tcPr>
            <w:tcW w:w="1009" w:type="pct"/>
            <w:noWrap w:val="0"/>
            <w:vAlign w:val="center"/>
          </w:tcPr>
          <w:p>
            <w:pPr>
              <w:autoSpaceDE w:val="0"/>
              <w:autoSpaceDN w:val="0"/>
              <w:spacing w:line="480" w:lineRule="exact"/>
              <w:jc w:val="center"/>
              <w:rPr>
                <w:rFonts w:hint="eastAsia" w:ascii="仿宋_GB2312" w:hAnsi="仿宋" w:eastAsia="仿宋_GB2312" w:cs="仿宋"/>
                <w:bCs/>
                <w:kern w:val="0"/>
                <w:sz w:val="28"/>
                <w:szCs w:val="28"/>
              </w:rPr>
            </w:pPr>
            <w:r>
              <w:rPr>
                <w:rFonts w:hint="eastAsia" w:ascii="仿宋_GB2312" w:hAnsi="仿宋" w:eastAsia="仿宋_GB2312" w:cs="仿宋"/>
                <w:bCs/>
                <w:kern w:val="0"/>
                <w:sz w:val="28"/>
                <w:szCs w:val="28"/>
              </w:rPr>
              <w:t>竞赛用服务器</w:t>
            </w:r>
          </w:p>
        </w:tc>
      </w:tr>
    </w:tbl>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（二）汽车营销活动策划方案汇报、直播说车</w:t>
      </w:r>
    </w:p>
    <w:p>
      <w:pPr>
        <w:spacing w:line="60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zh-CN"/>
        </w:rPr>
        <w:t>竞赛环境要求采用赛场集中，赛位独立的原则。单个赛位面积 100 平方米左右，如图所示。</w:t>
      </w:r>
      <w:r>
        <w:rPr>
          <w:rFonts w:hint="eastAsia" w:ascii="仿宋_GB2312" w:hAnsi="仿宋" w:eastAsia="仿宋_GB2312" w:cs="仿宋"/>
          <w:kern w:val="0"/>
          <w:sz w:val="32"/>
          <w:szCs w:val="32"/>
        </w:rPr>
        <w:t xml:space="preserve"> </w:t>
      </w:r>
    </w:p>
    <w:p>
      <w:pPr>
        <w:jc w:val="center"/>
        <w:rPr>
          <w:rFonts w:hint="eastAsia" w:ascii="仿宋_GB2312" w:hAnsi="仿宋" w:eastAsia="仿宋_GB2312" w:cs="仿宋"/>
          <w:sz w:val="32"/>
          <w:szCs w:val="32"/>
        </w:rPr>
      </w:pPr>
      <w:r>
        <w:rPr>
          <w:rFonts w:hint="eastAsia" w:ascii="仿宋_GB2312" w:hAnsi="仿宋" w:eastAsia="仿宋_GB2312" w:cs="仿宋"/>
          <w:sz w:val="32"/>
          <w:szCs w:val="32"/>
        </w:rPr>
        <w:drawing>
          <wp:inline distT="0" distB="0" distL="114300" distR="114300">
            <wp:extent cx="5274945" cy="2209165"/>
            <wp:effectExtent l="0" t="0" r="190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945" cy="2209165"/>
                    </a:xfrm>
                    <a:prstGeom prst="rect">
                      <a:avLst/>
                    </a:prstGeom>
                    <a:noFill/>
                    <a:ln>
                      <a:noFill/>
                    </a:ln>
                  </pic:spPr>
                </pic:pic>
              </a:graphicData>
            </a:graphic>
          </wp:inline>
        </w:drawing>
      </w:r>
    </w:p>
    <w:p>
      <w:pPr>
        <w:spacing w:line="600" w:lineRule="exact"/>
        <w:ind w:firstLine="640" w:firstLineChars="200"/>
        <w:jc w:val="center"/>
        <w:rPr>
          <w:rFonts w:hint="eastAsia" w:ascii="仿宋_GB2312" w:hAnsi="仿宋" w:eastAsia="仿宋_GB2312" w:cs="仿宋"/>
          <w:sz w:val="32"/>
          <w:szCs w:val="32"/>
        </w:rPr>
      </w:pPr>
      <w:r>
        <w:rPr>
          <w:rFonts w:hint="eastAsia" w:ascii="仿宋_GB2312" w:hAnsi="仿宋" w:eastAsia="仿宋_GB2312" w:cs="仿宋"/>
          <w:sz w:val="32"/>
          <w:szCs w:val="32"/>
        </w:rPr>
        <w:t xml:space="preserve"> </w:t>
      </w:r>
      <w:r>
        <w:rPr>
          <w:rFonts w:hint="eastAsia" w:ascii="仿宋_GB2312" w:hAnsi="仿宋" w:eastAsia="仿宋_GB2312" w:cs="仿宋"/>
          <w:kern w:val="0"/>
          <w:sz w:val="32"/>
          <w:szCs w:val="32"/>
          <w:lang w:val="zh-CN"/>
        </w:rPr>
        <w:t>汽车营销活动策划</w:t>
      </w:r>
      <w:r>
        <w:rPr>
          <w:rFonts w:hint="eastAsia" w:ascii="仿宋_GB2312" w:hAnsi="仿宋" w:eastAsia="仿宋_GB2312" w:cs="仿宋"/>
          <w:kern w:val="0"/>
          <w:sz w:val="32"/>
          <w:szCs w:val="32"/>
        </w:rPr>
        <w:t>汇报</w:t>
      </w:r>
      <w:r>
        <w:rPr>
          <w:rFonts w:hint="eastAsia" w:ascii="仿宋_GB2312" w:hAnsi="仿宋" w:eastAsia="仿宋_GB2312" w:cs="仿宋"/>
          <w:kern w:val="0"/>
          <w:sz w:val="32"/>
          <w:szCs w:val="32"/>
          <w:lang w:val="zh-CN"/>
        </w:rPr>
        <w:t>竞赛模块场地图</w:t>
      </w:r>
    </w:p>
    <w:p>
      <w:pPr>
        <w:pStyle w:val="7"/>
        <w:ind w:left="210" w:leftChars="100" w:firstLine="0" w:firstLineChars="0"/>
        <w:rPr>
          <w:rFonts w:hint="eastAsia" w:ascii="仿宋" w:hAnsi="仿宋" w:eastAsia="仿宋" w:cs="仿宋"/>
          <w:sz w:val="28"/>
          <w:szCs w:val="28"/>
        </w:rPr>
      </w:pPr>
      <w:r>
        <w:rPr>
          <w:rFonts w:hint="eastAsia" w:ascii="仿宋" w:hAnsi="仿宋" w:eastAsia="仿宋" w:cs="仿宋"/>
          <w:sz w:val="28"/>
          <w:szCs w:val="28"/>
        </w:rPr>
        <w:drawing>
          <wp:inline distT="0" distB="0" distL="114300" distR="114300">
            <wp:extent cx="1704975" cy="17716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1704975" cy="1771650"/>
                    </a:xfrm>
                    <a:prstGeom prst="rect">
                      <a:avLst/>
                    </a:prstGeom>
                    <a:noFill/>
                    <a:ln>
                      <a:noFill/>
                    </a:ln>
                  </pic:spPr>
                </pic:pic>
              </a:graphicData>
            </a:graphic>
          </wp:inline>
        </w:drawing>
      </w:r>
    </w:p>
    <w:p>
      <w:pPr>
        <w:spacing w:line="600" w:lineRule="exact"/>
        <w:ind w:firstLine="640" w:firstLineChars="200"/>
        <w:jc w:val="center"/>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eastAsia="zh-Hans"/>
        </w:rPr>
        <w:t>直播说车</w:t>
      </w:r>
      <w:r>
        <w:rPr>
          <w:rFonts w:hint="eastAsia" w:ascii="仿宋_GB2312" w:hAnsi="仿宋" w:eastAsia="仿宋_GB2312" w:cs="仿宋"/>
          <w:kern w:val="0"/>
          <w:sz w:val="32"/>
          <w:szCs w:val="32"/>
          <w:lang w:val="zh-CN"/>
        </w:rPr>
        <w:t>场地布置图</w:t>
      </w:r>
    </w:p>
    <w:p>
      <w:pPr>
        <w:spacing w:line="600" w:lineRule="exact"/>
        <w:ind w:firstLine="640" w:firstLineChars="200"/>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机房场地配置要求如下：</w:t>
      </w:r>
    </w:p>
    <w:tbl>
      <w:tblPr>
        <w:tblStyle w:val="8"/>
        <w:tblW w:w="8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502"/>
        <w:gridCol w:w="6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服务器</w:t>
            </w: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硬件配置</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*CPU 酷睿I5 3.4GHz以上/E3 1220 3.10GHz及以上  *内存:16GB以上  *硬盘: 512G及以上  *其他: USB接口、3.5MM音频接口、3.5MM耳机一副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操作系统</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Windows 2008 server(x64)或 Windows 2003 server(x64)或windows 7(x64)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数据库平台</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MySql5.1绿色版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浏览器</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Google Chrome、FireFox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网卡</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tabs>
                <w:tab w:val="left" w:pos="1576"/>
              </w:tabs>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千兆网卡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交换机</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千兆交换机，交换机端口支持1000M传输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工作站</w:t>
            </w: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硬件配置</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*CPU 酷睿I3 2.8GHz以上  *内存:4GB及以上（最低配置2GB）  *硬盘: 256GB以上，其他: USB接口、3.5MM音频接口、3.5MM耳机一副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操作系统</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Windows 7(x64)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浏览器</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Chrome 69.0.3497.81（正式版本） （32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其他插件</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Flash player PPAPI 31.0.0.108版本插件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网络要求</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1、与服务器处于同一局域网、同一网段</w:t>
            </w:r>
          </w:p>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2、使用网线连接到局域网内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sz w:val="28"/>
                <w:szCs w:val="28"/>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备注</w:t>
            </w:r>
          </w:p>
        </w:tc>
        <w:tc>
          <w:tcPr>
            <w:tcW w:w="60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仿宋_GB2312" w:hAnsi="仿宋" w:eastAsia="仿宋_GB2312" w:cs="仿宋"/>
                <w:sz w:val="28"/>
                <w:szCs w:val="28"/>
              </w:rPr>
            </w:pPr>
            <w:r>
              <w:rPr>
                <w:rFonts w:hint="eastAsia" w:ascii="仿宋_GB2312" w:hAnsi="仿宋" w:eastAsia="仿宋_GB2312" w:cs="仿宋"/>
                <w:sz w:val="28"/>
                <w:szCs w:val="28"/>
              </w:rPr>
              <w:t>竞赛、考试用机房，应该采用标准配置</w:t>
            </w:r>
          </w:p>
        </w:tc>
      </w:tr>
    </w:tbl>
    <w:p>
      <w:pPr>
        <w:spacing w:line="60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zh-CN"/>
        </w:rPr>
        <w:t>汽车营销活动策划及H5宣传制作</w:t>
      </w:r>
      <w:r>
        <w:rPr>
          <w:rFonts w:hint="eastAsia" w:ascii="仿宋_GB2312" w:hAnsi="仿宋" w:eastAsia="仿宋_GB2312" w:cs="仿宋"/>
          <w:kern w:val="0"/>
          <w:sz w:val="32"/>
          <w:szCs w:val="32"/>
        </w:rPr>
        <w:t>、直播说车</w:t>
      </w:r>
      <w:r>
        <w:rPr>
          <w:rFonts w:hint="eastAsia" w:ascii="仿宋_GB2312" w:hAnsi="仿宋" w:eastAsia="仿宋_GB2312" w:cs="仿宋"/>
          <w:kern w:val="0"/>
          <w:sz w:val="32"/>
          <w:szCs w:val="32"/>
          <w:lang w:val="zh-CN"/>
        </w:rPr>
        <w:t>竞赛模块物料清单</w:t>
      </w:r>
      <w:r>
        <w:rPr>
          <w:rFonts w:hint="eastAsia" w:ascii="仿宋_GB2312" w:hAnsi="仿宋" w:eastAsia="仿宋_GB2312" w:cs="仿宋"/>
          <w:kern w:val="0"/>
          <w:sz w:val="32"/>
          <w:szCs w:val="32"/>
        </w:rPr>
        <w:t>如下：</w:t>
      </w:r>
    </w:p>
    <w:tbl>
      <w:tblPr>
        <w:tblStyle w:val="8"/>
        <w:tblW w:w="4961" w:type="pct"/>
        <w:jc w:val="center"/>
        <w:tblLayout w:type="fixed"/>
        <w:tblCellMar>
          <w:top w:w="0" w:type="dxa"/>
          <w:left w:w="108" w:type="dxa"/>
          <w:bottom w:w="0" w:type="dxa"/>
          <w:right w:w="108" w:type="dxa"/>
        </w:tblCellMar>
      </w:tblPr>
      <w:tblGrid>
        <w:gridCol w:w="682"/>
        <w:gridCol w:w="1232"/>
        <w:gridCol w:w="3555"/>
        <w:gridCol w:w="1229"/>
        <w:gridCol w:w="1757"/>
      </w:tblGrid>
      <w:tr>
        <w:tblPrEx>
          <w:tblCellMar>
            <w:top w:w="0" w:type="dxa"/>
            <w:left w:w="108" w:type="dxa"/>
            <w:bottom w:w="0" w:type="dxa"/>
            <w:right w:w="108" w:type="dxa"/>
          </w:tblCellMar>
        </w:tblPrEx>
        <w:trPr>
          <w:trHeight w:val="345" w:hRule="atLeast"/>
          <w:jc w:val="center"/>
        </w:trPr>
        <w:tc>
          <w:tcPr>
            <w:tcW w:w="403" w:type="pct"/>
            <w:tcBorders>
              <w:top w:val="single" w:color="auto" w:sz="4" w:space="0"/>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b/>
                <w:bCs/>
                <w:sz w:val="28"/>
                <w:szCs w:val="28"/>
              </w:rPr>
            </w:pPr>
            <w:r>
              <w:rPr>
                <w:rFonts w:hint="eastAsia" w:ascii="仿宋_GB2312" w:hAnsi="仿宋" w:eastAsia="仿宋_GB2312" w:cs="仿宋"/>
                <w:b/>
                <w:bCs/>
                <w:sz w:val="28"/>
                <w:szCs w:val="28"/>
              </w:rPr>
              <w:t>序号</w:t>
            </w:r>
          </w:p>
        </w:tc>
        <w:tc>
          <w:tcPr>
            <w:tcW w:w="728" w:type="pct"/>
            <w:tcBorders>
              <w:top w:val="single" w:color="auto" w:sz="4" w:space="0"/>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b/>
                <w:bCs/>
                <w:sz w:val="28"/>
                <w:szCs w:val="28"/>
              </w:rPr>
            </w:pPr>
            <w:r>
              <w:rPr>
                <w:rFonts w:hint="eastAsia" w:ascii="仿宋_GB2312" w:hAnsi="仿宋" w:eastAsia="仿宋_GB2312" w:cs="仿宋"/>
                <w:b/>
                <w:bCs/>
                <w:sz w:val="28"/>
                <w:szCs w:val="28"/>
              </w:rPr>
              <w:t>场地类别</w:t>
            </w:r>
          </w:p>
        </w:tc>
        <w:tc>
          <w:tcPr>
            <w:tcW w:w="2101" w:type="pct"/>
            <w:tcBorders>
              <w:top w:val="single" w:color="auto" w:sz="4" w:space="0"/>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b/>
                <w:bCs/>
                <w:sz w:val="28"/>
                <w:szCs w:val="28"/>
              </w:rPr>
            </w:pPr>
            <w:r>
              <w:rPr>
                <w:rFonts w:hint="eastAsia" w:ascii="仿宋_GB2312" w:hAnsi="仿宋" w:eastAsia="仿宋_GB2312" w:cs="仿宋"/>
                <w:b/>
                <w:bCs/>
                <w:sz w:val="28"/>
                <w:szCs w:val="28"/>
              </w:rPr>
              <w:t>设施设备名称</w:t>
            </w:r>
          </w:p>
        </w:tc>
        <w:tc>
          <w:tcPr>
            <w:tcW w:w="727" w:type="pct"/>
            <w:tcBorders>
              <w:top w:val="single" w:color="auto" w:sz="4" w:space="0"/>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b/>
                <w:bCs/>
                <w:sz w:val="28"/>
                <w:szCs w:val="28"/>
              </w:rPr>
            </w:pPr>
            <w:r>
              <w:rPr>
                <w:rFonts w:hint="eastAsia" w:ascii="仿宋_GB2312" w:hAnsi="仿宋" w:eastAsia="仿宋_GB2312" w:cs="仿宋"/>
                <w:b/>
                <w:bCs/>
                <w:sz w:val="28"/>
                <w:szCs w:val="28"/>
              </w:rPr>
              <w:t>要求数量</w:t>
            </w:r>
          </w:p>
        </w:tc>
        <w:tc>
          <w:tcPr>
            <w:tcW w:w="1038" w:type="pct"/>
            <w:tcBorders>
              <w:top w:val="single" w:color="auto" w:sz="4" w:space="0"/>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b/>
                <w:bCs/>
                <w:sz w:val="28"/>
                <w:szCs w:val="28"/>
              </w:rPr>
            </w:pPr>
            <w:r>
              <w:rPr>
                <w:rFonts w:hint="eastAsia" w:ascii="仿宋_GB2312" w:hAnsi="仿宋" w:eastAsia="仿宋_GB2312" w:cs="仿宋"/>
                <w:b/>
                <w:bCs/>
                <w:sz w:val="28"/>
                <w:szCs w:val="28"/>
              </w:rPr>
              <w:t>使用项目</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w:t>
            </w:r>
          </w:p>
        </w:tc>
        <w:tc>
          <w:tcPr>
            <w:tcW w:w="728" w:type="pct"/>
            <w:vMerge w:val="restart"/>
            <w:tcBorders>
              <w:top w:val="nil"/>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color w:val="000000"/>
                <w:kern w:val="0"/>
                <w:sz w:val="28"/>
                <w:szCs w:val="28"/>
              </w:rPr>
            </w:pPr>
            <w:r>
              <w:rPr>
                <w:rFonts w:hint="eastAsia" w:ascii="仿宋_GB2312" w:hAnsi="仿宋" w:eastAsia="仿宋_GB2312" w:cs="仿宋"/>
                <w:sz w:val="28"/>
                <w:szCs w:val="28"/>
              </w:rPr>
              <w:t>机房</w:t>
            </w: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汽车营销策划模拟沙盘教学系统</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竞赛软件</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w:t>
            </w:r>
          </w:p>
        </w:tc>
        <w:tc>
          <w:tcPr>
            <w:tcW w:w="728" w:type="pct"/>
            <w:vMerge w:val="continue"/>
            <w:tcBorders>
              <w:top w:val="nil"/>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汽车网络营销H5制作教学系统</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竞赛软件</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3</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考试声明</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1份</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考试前诵读</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4</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机房（计算机70）</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1个</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竞赛机房</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5</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服务器（带屏幕及鼠标键盘）</w:t>
            </w:r>
          </w:p>
        </w:tc>
        <w:tc>
          <w:tcPr>
            <w:tcW w:w="727" w:type="pct"/>
            <w:tcBorders>
              <w:top w:val="nil"/>
              <w:left w:val="nil"/>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1个</w:t>
            </w:r>
          </w:p>
        </w:tc>
        <w:tc>
          <w:tcPr>
            <w:tcW w:w="1038" w:type="pct"/>
            <w:tcBorders>
              <w:top w:val="nil"/>
              <w:left w:val="nil"/>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每个机房各一台</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6</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打印机</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5个</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打印方案</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7</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墨盒</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10个</w:t>
            </w:r>
          </w:p>
        </w:tc>
        <w:tc>
          <w:tcPr>
            <w:tcW w:w="1038" w:type="pct"/>
            <w:tcBorders>
              <w:top w:val="nil"/>
              <w:left w:val="nil"/>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打印机备用</w:t>
            </w:r>
          </w:p>
        </w:tc>
      </w:tr>
      <w:tr>
        <w:tblPrEx>
          <w:tblCellMar>
            <w:top w:w="0" w:type="dxa"/>
            <w:left w:w="108" w:type="dxa"/>
            <w:bottom w:w="0" w:type="dxa"/>
            <w:right w:w="108" w:type="dxa"/>
          </w:tblCellMar>
        </w:tblPrEx>
        <w:trPr>
          <w:trHeight w:val="421"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8</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打印纸</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23包</w:t>
            </w:r>
          </w:p>
        </w:tc>
        <w:tc>
          <w:tcPr>
            <w:tcW w:w="1038" w:type="pct"/>
            <w:tcBorders>
              <w:top w:val="nil"/>
              <w:left w:val="nil"/>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打印使用</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9</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订书器</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5个</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装订使用</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10</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订书钉</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5盒</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装订使用</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11</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U盘（4g）</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70个</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拷贝资料</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12</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输出营销方案文案确认表</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2份</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选手签字</w:t>
            </w:r>
          </w:p>
        </w:tc>
      </w:tr>
      <w:tr>
        <w:tblPrEx>
          <w:tblCellMar>
            <w:top w:w="0" w:type="dxa"/>
            <w:left w:w="108" w:type="dxa"/>
            <w:bottom w:w="0" w:type="dxa"/>
            <w:right w:w="108" w:type="dxa"/>
          </w:tblCellMar>
        </w:tblPrEx>
        <w:trPr>
          <w:trHeight w:val="187"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13</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档案袋（大）</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若干</w:t>
            </w:r>
          </w:p>
        </w:tc>
        <w:tc>
          <w:tcPr>
            <w:tcW w:w="1038" w:type="pct"/>
            <w:tcBorders>
              <w:top w:val="nil"/>
              <w:left w:val="nil"/>
              <w:bottom w:val="single" w:color="auto" w:sz="4" w:space="0"/>
              <w:right w:val="single" w:color="auto" w:sz="4" w:space="0"/>
            </w:tcBorders>
            <w:noWrap w:val="0"/>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存放策划文案</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14</w:t>
            </w:r>
          </w:p>
        </w:tc>
        <w:tc>
          <w:tcPr>
            <w:tcW w:w="728"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签字笔/铅笔</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8盒</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签字用</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15</w:t>
            </w:r>
          </w:p>
        </w:tc>
        <w:tc>
          <w:tcPr>
            <w:tcW w:w="728" w:type="pct"/>
            <w:vMerge w:val="restart"/>
            <w:tcBorders>
              <w:top w:val="nil"/>
              <w:left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汇报现场</w:t>
            </w: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汽车网络营销H5制作教学系统</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竞赛软件</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16</w:t>
            </w:r>
          </w:p>
        </w:tc>
        <w:tc>
          <w:tcPr>
            <w:tcW w:w="728" w:type="pct"/>
            <w:vMerge w:val="continue"/>
            <w:tcBorders>
              <w:left w:val="single" w:color="auto" w:sz="4" w:space="0"/>
              <w:right w:val="single" w:color="auto" w:sz="4" w:space="0"/>
            </w:tcBorders>
            <w:noWrap/>
            <w:vAlign w:val="center"/>
          </w:tcPr>
          <w:p>
            <w:pPr>
              <w:widowControl/>
              <w:spacing w:line="480" w:lineRule="exact"/>
              <w:jc w:val="center"/>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移动触摸屏一体机</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2台</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汇报使用</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17</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工位电脑（主机、显示器）</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制作场地设计</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18</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工位桌椅（1桌1椅）</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工位桌椅</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19</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3-5米VGA连接线/HDMI高清线</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2条</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连接屏幕使用</w:t>
            </w:r>
          </w:p>
        </w:tc>
      </w:tr>
      <w:tr>
        <w:tblPrEx>
          <w:tblCellMar>
            <w:top w:w="0" w:type="dxa"/>
            <w:left w:w="108" w:type="dxa"/>
            <w:bottom w:w="0" w:type="dxa"/>
            <w:right w:w="108" w:type="dxa"/>
          </w:tblCellMar>
        </w:tblPrEx>
        <w:trPr>
          <w:trHeight w:val="135"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20</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触控线</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2条</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连接屏幕使用</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28</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无线鼠标和键盘</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操作电脑使用</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22</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翻页笔</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5个</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备用1个</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23</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倒计时器</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2台</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24</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麦克风</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现场扩音</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25</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音响设备</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p>
        </w:tc>
      </w:tr>
      <w:tr>
        <w:tblPrEx>
          <w:tblCellMar>
            <w:top w:w="0" w:type="dxa"/>
            <w:left w:w="108" w:type="dxa"/>
            <w:bottom w:w="0" w:type="dxa"/>
            <w:right w:w="108" w:type="dxa"/>
          </w:tblCellMar>
        </w:tblPrEx>
        <w:trPr>
          <w:trHeight w:val="289"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26</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电池</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10节</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27</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主观评分表</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若干</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28</w:t>
            </w:r>
          </w:p>
        </w:tc>
        <w:tc>
          <w:tcPr>
            <w:tcW w:w="728" w:type="pct"/>
            <w:vMerge w:val="continue"/>
            <w:tcBorders>
              <w:left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秒表</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1个</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记录比赛时间</w:t>
            </w:r>
          </w:p>
        </w:tc>
      </w:tr>
      <w:tr>
        <w:tblPrEx>
          <w:tblCellMar>
            <w:top w:w="0" w:type="dxa"/>
            <w:left w:w="108" w:type="dxa"/>
            <w:bottom w:w="0" w:type="dxa"/>
            <w:right w:w="108" w:type="dxa"/>
          </w:tblCellMar>
        </w:tblPrEx>
        <w:trPr>
          <w:trHeight w:val="330" w:hRule="atLeast"/>
          <w:jc w:val="center"/>
        </w:trPr>
        <w:tc>
          <w:tcPr>
            <w:tcW w:w="403" w:type="pct"/>
            <w:tcBorders>
              <w:top w:val="nil"/>
              <w:left w:val="single" w:color="auto" w:sz="4" w:space="0"/>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29</w:t>
            </w:r>
          </w:p>
        </w:tc>
        <w:tc>
          <w:tcPr>
            <w:tcW w:w="728" w:type="pct"/>
            <w:vMerge w:val="continue"/>
            <w:tcBorders>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仿宋"/>
                <w:color w:val="000000"/>
                <w:kern w:val="0"/>
                <w:sz w:val="28"/>
                <w:szCs w:val="28"/>
              </w:rPr>
            </w:pPr>
          </w:p>
        </w:tc>
        <w:tc>
          <w:tcPr>
            <w:tcW w:w="2101"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评委工具（板夹、铅笔、橡皮、签字笔、计算器、白纸）</w:t>
            </w:r>
          </w:p>
        </w:tc>
        <w:tc>
          <w:tcPr>
            <w:tcW w:w="727"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每人1套</w:t>
            </w:r>
          </w:p>
        </w:tc>
        <w:tc>
          <w:tcPr>
            <w:tcW w:w="1038" w:type="pct"/>
            <w:tcBorders>
              <w:top w:val="nil"/>
              <w:left w:val="nil"/>
              <w:bottom w:val="single" w:color="auto" w:sz="4" w:space="0"/>
              <w:right w:val="single" w:color="auto" w:sz="4" w:space="0"/>
            </w:tcBorders>
            <w:noWrap/>
            <w:vAlign w:val="center"/>
          </w:tcPr>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评分使用</w:t>
            </w:r>
          </w:p>
        </w:tc>
      </w:tr>
    </w:tbl>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 xml:space="preserve">七、技术平台 </w:t>
      </w:r>
    </w:p>
    <w:tbl>
      <w:tblPr>
        <w:tblStyle w:val="8"/>
        <w:tblW w:w="8411" w:type="dxa"/>
        <w:jc w:val="center"/>
        <w:tblLayout w:type="autofit"/>
        <w:tblCellMar>
          <w:top w:w="56" w:type="dxa"/>
          <w:left w:w="108" w:type="dxa"/>
          <w:bottom w:w="0" w:type="dxa"/>
          <w:right w:w="106" w:type="dxa"/>
        </w:tblCellMar>
      </w:tblPr>
      <w:tblGrid>
        <w:gridCol w:w="849"/>
        <w:gridCol w:w="1838"/>
        <w:gridCol w:w="5724"/>
      </w:tblGrid>
      <w:tr>
        <w:tblPrEx>
          <w:tblCellMar>
            <w:top w:w="56" w:type="dxa"/>
            <w:left w:w="108" w:type="dxa"/>
            <w:bottom w:w="0" w:type="dxa"/>
            <w:right w:w="106" w:type="dxa"/>
          </w:tblCellMar>
        </w:tblPrEx>
        <w:trPr>
          <w:trHeight w:val="521" w:hRule="atLeast"/>
          <w:jc w:val="center"/>
        </w:trPr>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ind w:left="82"/>
              <w:jc w:val="center"/>
              <w:rPr>
                <w:rFonts w:hint="eastAsia" w:ascii="仿宋_GB2312" w:hAnsi="仿宋" w:eastAsia="仿宋_GB2312" w:cs="仿宋"/>
                <w:b/>
                <w:bCs/>
                <w:sz w:val="28"/>
                <w:szCs w:val="28"/>
              </w:rPr>
            </w:pPr>
            <w:r>
              <w:rPr>
                <w:rFonts w:hint="eastAsia" w:ascii="仿宋_GB2312" w:hAnsi="仿宋" w:eastAsia="仿宋_GB2312" w:cs="仿宋"/>
                <w:b/>
                <w:bCs/>
                <w:color w:val="000000"/>
                <w:sz w:val="28"/>
                <w:szCs w:val="28"/>
                <w:lang w:bidi="ar"/>
              </w:rPr>
              <w:t>序号</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ind w:right="5"/>
              <w:jc w:val="center"/>
              <w:rPr>
                <w:rFonts w:hint="eastAsia" w:ascii="仿宋_GB2312" w:hAnsi="仿宋" w:eastAsia="仿宋_GB2312" w:cs="仿宋"/>
                <w:b/>
                <w:bCs/>
                <w:sz w:val="28"/>
                <w:szCs w:val="28"/>
              </w:rPr>
            </w:pPr>
            <w:r>
              <w:rPr>
                <w:rFonts w:hint="eastAsia" w:ascii="仿宋_GB2312" w:hAnsi="仿宋" w:eastAsia="仿宋_GB2312" w:cs="仿宋"/>
                <w:b/>
                <w:bCs/>
                <w:color w:val="000000"/>
                <w:sz w:val="28"/>
                <w:szCs w:val="28"/>
                <w:lang w:bidi="ar"/>
              </w:rPr>
              <w:t>品名</w:t>
            </w:r>
          </w:p>
        </w:tc>
        <w:tc>
          <w:tcPr>
            <w:tcW w:w="572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ind w:right="2"/>
              <w:jc w:val="center"/>
              <w:rPr>
                <w:rFonts w:hint="eastAsia" w:ascii="仿宋_GB2312" w:hAnsi="仿宋" w:eastAsia="仿宋_GB2312" w:cs="仿宋"/>
                <w:b/>
                <w:bCs/>
                <w:sz w:val="28"/>
                <w:szCs w:val="28"/>
              </w:rPr>
            </w:pPr>
            <w:r>
              <w:rPr>
                <w:rFonts w:hint="eastAsia" w:ascii="仿宋_GB2312" w:hAnsi="仿宋" w:eastAsia="仿宋_GB2312" w:cs="仿宋"/>
                <w:b/>
                <w:bCs/>
                <w:color w:val="000000"/>
                <w:sz w:val="28"/>
                <w:szCs w:val="28"/>
                <w:lang w:bidi="ar"/>
              </w:rPr>
              <w:t>规格要求说明</w:t>
            </w:r>
          </w:p>
        </w:tc>
      </w:tr>
      <w:tr>
        <w:tblPrEx>
          <w:tblCellMar>
            <w:top w:w="56" w:type="dxa"/>
            <w:left w:w="108" w:type="dxa"/>
            <w:bottom w:w="0" w:type="dxa"/>
            <w:right w:w="106" w:type="dxa"/>
          </w:tblCellMar>
        </w:tblPrEx>
        <w:trPr>
          <w:trHeight w:val="946" w:hRule="atLeast"/>
          <w:jc w:val="center"/>
        </w:trPr>
        <w:tc>
          <w:tcPr>
            <w:tcW w:w="849" w:type="dxa"/>
            <w:tcBorders>
              <w:top w:val="single" w:color="000000" w:sz="4" w:space="0"/>
              <w:left w:val="single" w:color="000000" w:sz="4" w:space="0"/>
              <w:bottom w:val="single" w:color="000000" w:sz="4" w:space="0"/>
              <w:right w:val="single" w:color="000000" w:sz="4" w:space="0"/>
            </w:tcBorders>
            <w:noWrap w:val="0"/>
            <w:vAlign w:val="center"/>
          </w:tcPr>
          <w:p>
            <w:pPr>
              <w:spacing w:line="480" w:lineRule="exact"/>
              <w:jc w:val="center"/>
              <w:rPr>
                <w:rFonts w:hint="eastAsia" w:ascii="仿宋_GB2312" w:hAnsi="仿宋" w:eastAsia="仿宋_GB2312" w:cs="仿宋"/>
                <w:sz w:val="28"/>
                <w:szCs w:val="28"/>
              </w:rPr>
            </w:pPr>
          </w:p>
          <w:p>
            <w:pPr>
              <w:spacing w:line="480" w:lineRule="exact"/>
              <w:jc w:val="center"/>
              <w:rPr>
                <w:rFonts w:hint="eastAsia" w:ascii="仿宋_GB2312" w:hAnsi="仿宋" w:eastAsia="仿宋_GB2312" w:cs="仿宋"/>
                <w:sz w:val="28"/>
                <w:szCs w:val="28"/>
              </w:rPr>
            </w:pPr>
          </w:p>
          <w:p>
            <w:pPr>
              <w:spacing w:line="48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1</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rPr>
                <w:rFonts w:hint="eastAsia" w:ascii="仿宋_GB2312" w:hAnsi="仿宋" w:eastAsia="仿宋_GB2312" w:cs="仿宋"/>
                <w:sz w:val="28"/>
                <w:szCs w:val="28"/>
              </w:rPr>
            </w:pPr>
            <w:r>
              <w:rPr>
                <w:rFonts w:hint="eastAsia" w:ascii="仿宋_GB2312" w:hAnsi="仿宋" w:eastAsia="仿宋_GB2312" w:cs="仿宋"/>
                <w:color w:val="000000"/>
                <w:kern w:val="0"/>
                <w:sz w:val="28"/>
                <w:szCs w:val="28"/>
                <w:lang w:bidi="ar"/>
              </w:rPr>
              <w:t>车识堂汽车电商服务平台运营与管理教学培训系统（高级）V1.0</w:t>
            </w:r>
          </w:p>
        </w:tc>
        <w:tc>
          <w:tcPr>
            <w:tcW w:w="5724" w:type="dxa"/>
            <w:tcBorders>
              <w:top w:val="single" w:color="000000" w:sz="4" w:space="0"/>
              <w:left w:val="single" w:color="000000" w:sz="4" w:space="0"/>
              <w:bottom w:val="single" w:color="000000" w:sz="4" w:space="0"/>
              <w:right w:val="single" w:color="000000" w:sz="4" w:space="0"/>
            </w:tcBorders>
            <w:noWrap w:val="0"/>
            <w:vAlign w:val="center"/>
          </w:tcPr>
          <w:p>
            <w:pPr>
              <w:pStyle w:val="11"/>
              <w:spacing w:line="480" w:lineRule="exact"/>
              <w:ind w:firstLine="0" w:firstLineChars="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1.系统以数字化的时代为背景，结合汽车电商直播的发展方向，设计商品管理、营销工具、直播管理、开播设置、直播模块5个模块。</w:t>
            </w:r>
          </w:p>
          <w:p>
            <w:pPr>
              <w:pStyle w:val="11"/>
              <w:spacing w:line="480" w:lineRule="exact"/>
              <w:ind w:firstLine="0" w:firstLineChars="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2.商品管理模块具备商品新建流程，还原新媒体直播商品运营的真实工作内容，可在商品模块中建立销售商品信息。</w:t>
            </w:r>
          </w:p>
          <w:p>
            <w:pPr>
              <w:pStyle w:val="11"/>
              <w:spacing w:line="480" w:lineRule="exact"/>
              <w:ind w:firstLine="0" w:firstLineChars="0"/>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3.营销工具模块提供优惠券、满减营销工具，可根据营销需求设置不同营销力度的优惠券和满减策略，系统具备营销根据列表功能，可以清晰搜索不同营销工具的有效期限和状态。</w:t>
            </w:r>
          </w:p>
        </w:tc>
      </w:tr>
      <w:tr>
        <w:tblPrEx>
          <w:tblCellMar>
            <w:top w:w="56" w:type="dxa"/>
            <w:left w:w="108" w:type="dxa"/>
            <w:bottom w:w="0" w:type="dxa"/>
            <w:right w:w="106" w:type="dxa"/>
          </w:tblCellMar>
        </w:tblPrEx>
        <w:trPr>
          <w:trHeight w:val="634" w:hRule="atLeast"/>
          <w:jc w:val="center"/>
        </w:trPr>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ind w:right="5"/>
              <w:jc w:val="center"/>
              <w:rPr>
                <w:rFonts w:hint="eastAsia" w:ascii="仿宋_GB2312" w:hAnsi="仿宋" w:eastAsia="仿宋_GB2312" w:cs="仿宋"/>
                <w:b/>
                <w:color w:val="000000"/>
                <w:sz w:val="28"/>
                <w:szCs w:val="28"/>
                <w:lang w:bidi="ar"/>
              </w:rPr>
            </w:pPr>
            <w:r>
              <w:rPr>
                <w:rFonts w:hint="eastAsia" w:ascii="仿宋_GB2312" w:hAnsi="仿宋" w:eastAsia="仿宋_GB2312" w:cs="仿宋"/>
                <w:b/>
                <w:color w:val="000000"/>
                <w:sz w:val="28"/>
                <w:szCs w:val="28"/>
                <w:lang w:bidi="ar"/>
              </w:rPr>
              <w:t>2</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rPr>
                <w:rFonts w:hint="eastAsia"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汽车营销策划模拟沙盘教学系统V2.0</w:t>
            </w:r>
          </w:p>
        </w:tc>
        <w:tc>
          <w:tcPr>
            <w:tcW w:w="572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left"/>
              <w:rPr>
                <w:rFonts w:hint="eastAsia" w:ascii="仿宋_GB2312" w:hAnsi="仿宋" w:eastAsia="仿宋_GB2312" w:cs="仿宋"/>
                <w:color w:val="000000"/>
                <w:sz w:val="28"/>
                <w:szCs w:val="28"/>
                <w:lang w:bidi="ar"/>
              </w:rPr>
            </w:pPr>
            <w:r>
              <w:rPr>
                <w:rFonts w:hint="eastAsia" w:ascii="仿宋_GB2312" w:hAnsi="仿宋" w:eastAsia="仿宋_GB2312" w:cs="仿宋"/>
                <w:color w:val="000000"/>
                <w:kern w:val="0"/>
                <w:sz w:val="28"/>
                <w:szCs w:val="28"/>
                <w:lang w:bidi="ar"/>
              </w:rPr>
              <w:t>本系统围绕汽车市场部专员的典型工作任务，融合汽车行业先进的业务管理理念，以理实一体教学模式为核心，以企业实际营销策划过程为导向，对营销策划行为进行分析并建立数学模型，研究不同营销策略对活动结果的影响，可用于汽车营销领域的教学、培训和竞赛。</w:t>
            </w:r>
          </w:p>
        </w:tc>
      </w:tr>
      <w:tr>
        <w:tblPrEx>
          <w:tblCellMar>
            <w:top w:w="56" w:type="dxa"/>
            <w:left w:w="108" w:type="dxa"/>
            <w:bottom w:w="0" w:type="dxa"/>
            <w:right w:w="106" w:type="dxa"/>
          </w:tblCellMar>
        </w:tblPrEx>
        <w:trPr>
          <w:trHeight w:val="634" w:hRule="atLeast"/>
          <w:jc w:val="center"/>
        </w:trPr>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ind w:right="5"/>
              <w:jc w:val="center"/>
              <w:rPr>
                <w:rFonts w:hint="eastAsia" w:ascii="仿宋_GB2312" w:hAnsi="仿宋" w:eastAsia="仿宋_GB2312" w:cs="仿宋"/>
                <w:b/>
                <w:color w:val="000000"/>
                <w:sz w:val="28"/>
                <w:szCs w:val="28"/>
                <w:lang w:bidi="ar"/>
              </w:rPr>
            </w:pPr>
            <w:r>
              <w:rPr>
                <w:rFonts w:hint="eastAsia" w:ascii="仿宋_GB2312" w:hAnsi="仿宋" w:eastAsia="仿宋_GB2312" w:cs="仿宋"/>
                <w:b/>
                <w:color w:val="000000"/>
                <w:sz w:val="28"/>
                <w:szCs w:val="28"/>
                <w:lang w:bidi="ar"/>
              </w:rPr>
              <w:t>3</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rPr>
                <w:rFonts w:hint="eastAsia"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汽车网络营销H5制作教学系统V1.0</w:t>
            </w:r>
          </w:p>
          <w:p>
            <w:pPr>
              <w:pStyle w:val="7"/>
              <w:spacing w:line="480" w:lineRule="exact"/>
              <w:ind w:firstLine="280"/>
              <w:rPr>
                <w:rFonts w:hint="eastAsia" w:ascii="仿宋" w:hAnsi="仿宋" w:eastAsia="仿宋" w:cs="仿宋"/>
                <w:sz w:val="28"/>
                <w:szCs w:val="28"/>
              </w:rPr>
            </w:pPr>
          </w:p>
        </w:tc>
        <w:tc>
          <w:tcPr>
            <w:tcW w:w="572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left"/>
              <w:rPr>
                <w:rFonts w:hint="eastAsia" w:ascii="仿宋_GB2312" w:hAnsi="仿宋" w:eastAsia="仿宋_GB2312" w:cs="仿宋"/>
                <w:color w:val="000000"/>
                <w:sz w:val="28"/>
                <w:szCs w:val="28"/>
                <w:lang w:bidi="ar"/>
              </w:rPr>
            </w:pPr>
            <w:r>
              <w:rPr>
                <w:rFonts w:hint="eastAsia" w:ascii="仿宋_GB2312" w:hAnsi="仿宋" w:eastAsia="仿宋_GB2312" w:cs="仿宋"/>
                <w:color w:val="000000"/>
                <w:kern w:val="0"/>
                <w:sz w:val="28"/>
                <w:szCs w:val="28"/>
                <w:lang w:bidi="ar"/>
              </w:rPr>
              <w:t>本系统根据汽车营销服务人员日常推广运营工作，结合营销策划、H5广告设计等知识内容，支持分析营销策划方案、规划H5宣传页面信息、制作汽车售后服务类H5、制作汽车品牌推广类H5、制作汽车产品展示类H5等实训活动，使学生通过实训充分掌握H5制作技能。同时，系统还提供以工作任务为导向建立知识体系，并配套多种类型的教学资源，辅助教师完成个性化、多元化的教学和帮助学生开展自主学习。</w:t>
            </w:r>
          </w:p>
        </w:tc>
      </w:tr>
    </w:tbl>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八、竞赛纪律</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1.所有人员在赛场内不得有影响其他选手完成工作任务的行为，参赛选手不允许窜岗窜位，不得言语及人身攻击裁判和赛场工作人员。 </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2.竞赛过程中，选手须严格遵守安全操作规程，并接受裁判员的监督和警示，以确保参赛人身及设备安全。选手因个人误操作造成人身安全事故和设备故障时，裁判长有权终止该队竞赛；如非选手个人因素出现设备故障而无法竞赛，由裁判长视具体情况做出裁决(调换到备份工位或调整至最后一场次参加竞赛)；如裁判长确定设备故障可由技术支持人员排除故障后继续竞赛，将给参赛队补足所耽误的竞赛时间。</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3.选手进入赛场后，不得擅自离开赛场，因病或其他原因离开赛场或终止比赛，应向裁判示意，须经赛场裁判长同意，并在赛场记录表上签字确认后，方可离开赛场并在赛场工作人员指引下到达指定地点。</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 xml:space="preserve">4.选手须按照程序提交比赛结果（任务书），在比赛工位的计算机规定文件夹内存储比赛文档，配合裁判做好赛场情况记录，并签字确认，裁判提出签名要求时，不得无故拒绝。 </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5.裁判长发布比赛结束指令后所有未完成任务参赛选手立即停止操作，按要求清理赛位，不得以任何理由拖延竞赛时间。</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九、竞赛违纪处理规定</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1.因参赛队伍原因造成重大安全事故的，取消其获奖资格。</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2.参赛队伍有发生重大安全事故隐患，经赛场工作人员提示、警告无效的，可取消其继续比赛的资格。</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3.赛事工作人员违规的，按照相应的制度追究责任。情节恶劣并造成重大安全事故的，由司法机关追究相应法律责任。</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十、申诉与仲裁</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1.各参赛队对不符合大赛和赛项规程规定的仪器、设备、材料、物件、计算机软硬件、竞赛使用工具、用品，竞赛执裁、赛场管理、竞赛成绩，以及工作人员的不规范行为等，可向赛项监督仲裁组提出申诉。</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2.申诉主体为参赛队领队。申诉启动时，参赛队向赛项监督仲裁组递交领队亲笔签字同意的书面报告。书面报告应对申诉事件的现象、发生时间、涉及人员、申诉依据等进行充分、实事求是的叙述。非书面申诉不予受理。</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rPr>
        <w:t>3</w:t>
      </w:r>
      <w:r>
        <w:rPr>
          <w:rFonts w:hint="eastAsia" w:ascii="仿宋_GB2312" w:hAnsi="仿宋" w:eastAsia="仿宋_GB2312" w:cs="仿宋"/>
          <w:kern w:val="0"/>
          <w:sz w:val="32"/>
          <w:szCs w:val="32"/>
          <w:lang w:val="zh-CN"/>
        </w:rPr>
        <w:t>.申诉应在比赛结束后1小时内向监督仲裁组提出。超过时效不予受理。</w:t>
      </w:r>
    </w:p>
    <w:p>
      <w:pPr>
        <w:spacing w:line="600" w:lineRule="exact"/>
        <w:ind w:firstLine="640" w:firstLineChars="200"/>
        <w:jc w:val="left"/>
        <w:rPr>
          <w:rFonts w:hint="eastAsia" w:ascii="仿宋_GB2312" w:hAnsi="仿宋" w:eastAsia="仿宋_GB2312" w:cs="仿宋"/>
          <w:kern w:val="0"/>
          <w:sz w:val="32"/>
          <w:szCs w:val="32"/>
          <w:lang w:val="zh-CN"/>
        </w:rPr>
      </w:pPr>
      <w:r>
        <w:rPr>
          <w:rFonts w:hint="eastAsia" w:ascii="仿宋_GB2312" w:hAnsi="仿宋" w:eastAsia="仿宋_GB2312" w:cs="仿宋"/>
          <w:kern w:val="0"/>
          <w:sz w:val="32"/>
          <w:szCs w:val="32"/>
        </w:rPr>
        <w:t>4</w:t>
      </w:r>
      <w:r>
        <w:rPr>
          <w:rFonts w:hint="eastAsia" w:ascii="仿宋_GB2312" w:hAnsi="仿宋" w:eastAsia="仿宋_GB2312" w:cs="仿宋"/>
          <w:kern w:val="0"/>
          <w:sz w:val="32"/>
          <w:szCs w:val="32"/>
          <w:lang w:val="zh-CN"/>
        </w:rPr>
        <w:t>.赛项监督仲裁组在接到申诉报告后的1小时内组织复议，并及时将复议结果以书面形式告知申诉方。申诉方对复议结果仍有异议，可由领队向赛区仲裁委员会提出申诉。赛区仲裁委员会的仲裁结果为最终结果。</w:t>
      </w:r>
    </w:p>
    <w:p>
      <w:pPr>
        <w:ind w:firstLine="640" w:firstLineChars="200"/>
      </w:pPr>
      <w:bookmarkStart w:id="0" w:name="_GoBack"/>
      <w:bookmarkEnd w:id="0"/>
      <w:r>
        <w:rPr>
          <w:rFonts w:hint="eastAsia" w:ascii="仿宋_GB2312" w:hAnsi="仿宋" w:eastAsia="仿宋_GB2312" w:cs="仿宋"/>
          <w:kern w:val="0"/>
          <w:sz w:val="32"/>
          <w:szCs w:val="32"/>
        </w:rPr>
        <w:t>5</w:t>
      </w:r>
      <w:r>
        <w:rPr>
          <w:rFonts w:hint="eastAsia" w:ascii="仿宋_GB2312" w:hAnsi="仿宋" w:eastAsia="仿宋_GB2312" w:cs="仿宋"/>
          <w:kern w:val="0"/>
          <w:sz w:val="32"/>
          <w:szCs w:val="32"/>
          <w:lang w:val="zh-CN"/>
        </w:rPr>
        <w:t>.申诉方不得以任何理由拒绝接收仲裁结果，不得以任何理由采取过激行为扰乱赛场秩序。仲裁结果由申诉人签收，不能代收，如在约定时间和地点申诉人离开，视为自行放弃申诉。申诉方可随时提出放弃申诉。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14FAE6-801C-4AAD-B5DF-EA5F7150C7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9D51EE7-4626-4042-BB85-5F4FF8918474}"/>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embedRegular r:id="rId3" w:fontKey="{CEEFA84F-711D-41C6-946F-501E529BDB10}"/>
  </w:font>
  <w:font w:name="方正小标宋简体">
    <w:panose1 w:val="02000000000000000000"/>
    <w:charset w:val="86"/>
    <w:family w:val="auto"/>
    <w:pitch w:val="default"/>
    <w:sig w:usb0="00000001" w:usb1="08000000" w:usb2="00000000" w:usb3="00000000" w:csb0="00040000" w:csb1="00000000"/>
    <w:embedRegular r:id="rId4" w:fontKey="{1720DB67-3EB4-452D-944D-1D12BEB93E15}"/>
  </w:font>
  <w:font w:name="微软雅黑">
    <w:panose1 w:val="020B0503020204020204"/>
    <w:charset w:val="86"/>
    <w:family w:val="swiss"/>
    <w:pitch w:val="default"/>
    <w:sig w:usb0="80000287" w:usb1="2ACF3C50" w:usb2="00000016" w:usb3="00000000" w:csb0="0004001F" w:csb1="00000000"/>
    <w:embedRegular r:id="rId5" w:fontKey="{3D8F8E41-3077-48BB-94DE-D9AFABC37534}"/>
  </w:font>
  <w:font w:name="仿宋">
    <w:panose1 w:val="02010609060101010101"/>
    <w:charset w:val="86"/>
    <w:family w:val="modern"/>
    <w:pitch w:val="default"/>
    <w:sig w:usb0="800002BF" w:usb1="38CF7CFA" w:usb2="00000016" w:usb3="00000000" w:csb0="00040001" w:csb1="00000000"/>
    <w:embedRegular r:id="rId6" w:fontKey="{971B6ED7-D058-4E25-9F2C-8B898299E815}"/>
  </w:font>
  <w:font w:name="楷体">
    <w:panose1 w:val="02010609060101010101"/>
    <w:charset w:val="86"/>
    <w:family w:val="modern"/>
    <w:pitch w:val="default"/>
    <w:sig w:usb0="800002BF" w:usb1="38CF7CFA" w:usb2="00000016" w:usb3="00000000" w:csb0="00040001" w:csb1="00000000"/>
    <w:embedRegular r:id="rId7" w:fontKey="{5D90C021-CEDB-4D09-9253-D5561135074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535BE1"/>
    <w:multiLevelType w:val="singleLevel"/>
    <w:tmpl w:val="B5535BE1"/>
    <w:lvl w:ilvl="0" w:tentative="0">
      <w:start w:val="1"/>
      <w:numFmt w:val="decimal"/>
      <w:suff w:val="nothing"/>
      <w:lvlText w:val="%1、"/>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NGZiY2I1YTkxYTQ0NDMzZjZmODRjNDQ0NjMxZWUifQ=="/>
  </w:docVars>
  <w:rsids>
    <w:rsidRoot w:val="5AE33969"/>
    <w:rsid w:val="5AE33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5" w:lineRule="auto"/>
      <w:outlineLvl w:val="1"/>
    </w:pPr>
    <w:rPr>
      <w:rFonts w:ascii="Calibri Light" w:hAnsi="Calibri Light"/>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uiPriority w:val="0"/>
    <w:rPr>
      <w:rFonts w:ascii="仿宋_GB2312"/>
      <w:sz w:val="32"/>
      <w:szCs w:val="20"/>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Body Text First Indent"/>
    <w:basedOn w:val="5"/>
    <w:qFormat/>
    <w:uiPriority w:val="0"/>
    <w:pPr>
      <w:spacing w:after="0"/>
      <w:ind w:firstLine="420" w:firstLineChars="100"/>
      <w:jc w:val="center"/>
    </w:pPr>
    <w:rPr>
      <w:sz w:val="44"/>
    </w:rPr>
  </w:style>
  <w:style w:type="character" w:styleId="10">
    <w:name w:val="page number"/>
    <w:uiPriority w:val="0"/>
  </w:style>
  <w:style w:type="paragraph" w:customStyle="1" w:styleId="11">
    <w:name w:val="列表段落1"/>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2023-10-11T13:47:00Z</dcterms:created>
  <dc:creator>轩轩呦</dc:creator>
  <cp:lastModifiedBy>轩轩呦</cp:lastModifiedBy>
  <dcterms:modified xsi:type="dcterms:W3CDTF">2023-10-11T13:49:51Z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1031C7A34BC146FAB7A5CECFA2DD478A_11</vt:lpwstr>
  </property>
</Properties>
</file>